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3" w:rsidRPr="001354D6" w:rsidRDefault="00BD3AD3" w:rsidP="00135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54D6">
        <w:rPr>
          <w:rFonts w:ascii="Times New Roman" w:hAnsi="Times New Roman" w:cs="Times New Roman"/>
          <w:b/>
          <w:sz w:val="28"/>
          <w:szCs w:val="28"/>
          <w:lang w:val="ru-RU"/>
        </w:rPr>
        <w:t>Вопрос</w:t>
      </w:r>
      <w:r w:rsidR="00C44928" w:rsidRPr="001354D6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B9685C" w:rsidRPr="001354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E18F2" w:rsidRPr="001354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 бизнес-сообщества</w:t>
      </w:r>
      <w:r w:rsidR="00B9685C" w:rsidRPr="001354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F4BD2" w:rsidRPr="001354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Республики Армения </w:t>
      </w:r>
    </w:p>
    <w:p w:rsidR="00897E10" w:rsidRPr="001354D6" w:rsidRDefault="00897E10" w:rsidP="00135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54D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Позиция ЕЭК</w:t>
      </w:r>
    </w:p>
    <w:p w:rsidR="00B44418" w:rsidRPr="001354D6" w:rsidRDefault="00B44418" w:rsidP="001354D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534"/>
        <w:gridCol w:w="3260"/>
        <w:gridCol w:w="11198"/>
      </w:tblGrid>
      <w:tr w:rsidR="002F4BD2" w:rsidRPr="00146CF8" w:rsidTr="00FB315C">
        <w:trPr>
          <w:trHeight w:val="6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F4BD2" w:rsidRPr="001354D6" w:rsidRDefault="002F4BD2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4BD2" w:rsidRPr="001354D6" w:rsidRDefault="002F4BD2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Заявитель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2F4BD2" w:rsidRPr="00146CF8" w:rsidRDefault="005D3B19" w:rsidP="001354D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6C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Содержание </w:t>
            </w:r>
            <w:r w:rsidR="002F4BD2" w:rsidRPr="00146C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вопроса</w:t>
            </w:r>
            <w:r w:rsidR="00146CF8" w:rsidRPr="00146C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</w:t>
            </w:r>
            <w:r w:rsidR="00146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146CF8"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озиция ЕЭК</w:t>
            </w: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60" w:type="dxa"/>
          </w:tcPr>
          <w:p w:rsidR="00066FBF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Сурен Нерсесян, </w:t>
            </w:r>
          </w:p>
          <w:p w:rsidR="00AE4D5A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«Апавен», </w:t>
            </w: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60 656</w:t>
            </w:r>
            <w:r w:rsidR="006A42B1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514, </w:t>
            </w:r>
            <w:hyperlink r:id="rId8" w:history="1"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s.nersesvan@apaven.com</w:t>
              </w:r>
            </w:hyperlink>
            <w:r w:rsidR="006A42B1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666B75" w:rsidRPr="001354D6" w:rsidRDefault="00666B75" w:rsidP="001354D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 отправках грузов через порт Новороссийск без открытия таможенного транзита в пунктах отправки - возникает проблема. Таможенный транзит открывается в Новороссийске на основании договоров продавца и покупателя, а также лицензированного таможенного брокера. При этом взимается плата как за оформление транзитной таможенной декларации, так </w:t>
            </w:r>
            <w:r w:rsid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за таможенный досмотр 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каждого контейнера из партии. Если плата за оформление таможенного транзита еще как то оправдана в плане оперативности хотя и не понятна, то плата за таможенный досмотр в размере 240 долларов США за каждый контейнер считаем необоснованным. В качестве примера укажем, что в течение 2015 года осуществлялись отправки 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алюминиевого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сырья через порт Новороссийск двумя вариантами.</w:t>
            </w:r>
          </w:p>
          <w:p w:rsidR="00666B75" w:rsidRPr="001354D6" w:rsidRDefault="00666B75" w:rsidP="001354D6">
            <w:pPr>
              <w:widowControl w:val="0"/>
              <w:tabs>
                <w:tab w:val="left" w:pos="454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А</w:t>
            </w:r>
            <w:r w:rsid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люминиево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сырье (чушки) прибывают в Новороссийск в контейнерах Трансконтейнер без таможенного транзита, принимаются на лицензированном складе, перетариваются в морские контейнера, оформляются (открывается таможенный транзит) и сдаются в порт для погрузки на судно и отправки морем через порт Поти (Грузия) в Армению. По ук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занию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таможни каждый контейнер досматривается и уже порт выставляет счет за данные операции.</w:t>
            </w:r>
          </w:p>
          <w:p w:rsidR="00666B75" w:rsidRPr="001354D6" w:rsidRDefault="005D3B19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б)</w:t>
            </w:r>
            <w:r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66B75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Алюмин</w:t>
            </w:r>
            <w:r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евое</w:t>
            </w:r>
            <w:r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сырье (чушки) прибывает в порт</w:t>
            </w:r>
          </w:p>
          <w:p w:rsidR="00666B75" w:rsidRPr="001354D6" w:rsidRDefault="00666B75" w:rsidP="001354D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Новороссийск уже загруженный в морские контейнера, но опять таки без оформления таможенного транзита. 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Контейнера</w:t>
            </w:r>
            <w:r w:rsidR="005D3B19" w:rsidRPr="00066F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перетарки, оформляются (открывается таможенный транзит). И в этом случае по указанию таможни также каждый контейнер досматривается и опять таки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выставляется счет за досмотровые операции.</w:t>
            </w:r>
          </w:p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Вывод:  плата за о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крытие</w:t>
            </w:r>
            <w:r w:rsidR="005D3B19" w:rsidRPr="005D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таможенного транзита и уж тем более за досмотровые операции на грузы, которые находятся в едином таможенном и экономическом пространстве, неприемлемыми, приводят к искусственному повышению себестоимости транспортных расходов, увеличению транзитного времени доставки и требуют срочного решения.</w:t>
            </w:r>
          </w:p>
          <w:p w:rsidR="00590518" w:rsidRPr="001354D6" w:rsidRDefault="00590518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1592A" w:rsidRPr="001354D6" w:rsidRDefault="0091592A" w:rsidP="001354D6">
            <w:pPr>
              <w:tabs>
                <w:tab w:val="left" w:pos="284"/>
                <w:tab w:val="left" w:pos="851"/>
              </w:tabs>
              <w:spacing w:line="21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Позиция ЕЭК: На Консультативном комитете по вопросам предпринимательства при ЕЭК принято решение об обращения в ФТС России с предложением обеспечить возможность нанесения средств идентификации (пломб) на контейнеры на складе отправителя до их направления в морской порт Новороссийск. </w:t>
            </w:r>
          </w:p>
          <w:p w:rsidR="000E5534" w:rsidRPr="00590518" w:rsidRDefault="000E553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Кроме того необходимо инициировать внесение предложения в Правительство Республики Армения о внесении дополнения в пункт 6 Приложения № 5 к Договору от 10 октября 2014 года о присоединении Республики Армения к Договору о </w:t>
            </w: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Евразийском экономическом союзе от 29 мая 2014 года следующего содержания: «При наличии на транспортном средстве, контейнере или на иной таре, предназначенных для перевозки товаров Евразийского экономического союза, которые убывают с</w:t>
            </w: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таможенной территории Союза для перевозки с таможенной территории Союза на</w:t>
            </w: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1354D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таможенную территорию Союза через территории иностранных государств, пломб, печатей или иных средств идентификации, примененных отправителем товаров или перевозчиками, они могут быть признаны в качестве средств идентификации для таможенных целей. Наложение</w:t>
            </w:r>
            <w:r w:rsidRPr="001354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051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средств идентификации таможенным органом места убытия в этом случае не требуется.».</w:t>
            </w:r>
          </w:p>
          <w:p w:rsidR="00AE4D5A" w:rsidRPr="001354D6" w:rsidRDefault="00AE4D5A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066FBF" w:rsidRPr="00C55B03" w:rsidRDefault="00066FBF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ромышленников</w:t>
            </w: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</w:t>
            </w:r>
            <w:r w:rsidR="005D3C09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5D3C09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0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vAlign w:val="center"/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Излишне усложненная система учета и возврата НДС привела к тому, что многие поставщики отказываются поставлять товар без указания НДС, либо включают НДС в цену товара. А это означает, что партнер в Армении платит двойной НДС и увеличивается цена товара для потребителя.</w:t>
            </w:r>
          </w:p>
          <w:p w:rsidR="00590518" w:rsidRPr="001354D6" w:rsidRDefault="00590518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18" w:rsidRDefault="004B2F0B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Позиция ЕЭК: В соответствии с Договором о ЕАЭС  косвенные налоги взимаются  по принципу страны назначения, то есть экспорт осуществляется по нулевой ставке НДС. При этом  импортер обязан направить в адрес экспортера Заявление о ввозе товаров и уплате косвенных налогов (</w:t>
            </w:r>
            <w:r w:rsidR="005905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далее-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Заявление).  Таким образом, обязанность  </w:t>
            </w:r>
            <w:r w:rsidR="005905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направления импортером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Заявления </w:t>
            </w:r>
            <w:r w:rsidR="005905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адрес экспортера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должна  оговариваться при заключении договора (контракта) купли-продажи товара</w:t>
            </w:r>
            <w:r w:rsidR="005905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как обязательство импортера.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B2F0B" w:rsidRDefault="00590518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 </w:t>
            </w:r>
            <w:r w:rsidR="004B2F0B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4B2F0B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Заявлени</w:t>
            </w:r>
            <w:r w:rsidR="00FD47AC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  <w:r w:rsidR="004B2F0B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или реестра Заявлений </w:t>
            </w:r>
            <w:r w:rsidR="004B2F0B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налоговый орган  осуществляет возврат зачетного НДС не дожидаясь 180 дней.</w:t>
            </w:r>
          </w:p>
          <w:p w:rsidR="00590518" w:rsidRPr="001354D6" w:rsidRDefault="00590518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Необходимо отметить, что внутренним законодательством может быть принят механизм возврата НДС, предусматривающий то, что основанием для возврата может служить иной документ (документы), Однако при этом следует иметь в виду то, что в случае отсутствия Заявления по истечении 180 дней налоговый орган обязан начислить и взыскать НДС по внутренним ставкам.  </w:t>
            </w:r>
          </w:p>
          <w:p w:rsidR="00AE4D5A" w:rsidRPr="001354D6" w:rsidRDefault="00AE4D5A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260" w:type="dxa"/>
          </w:tcPr>
          <w:p w:rsidR="00666B75" w:rsidRPr="00C55B03" w:rsidRDefault="00666B75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Артавазд</w:t>
            </w:r>
            <w:r w:rsidR="00066FBF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Яхшибекян,</w:t>
            </w:r>
          </w:p>
          <w:p w:rsidR="00666B75" w:rsidRPr="00C55B03" w:rsidRDefault="00066FBF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омпания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«Malca-Amit»,</w:t>
            </w:r>
          </w:p>
          <w:p w:rsidR="00066FBF" w:rsidRPr="002D639B" w:rsidRDefault="00666B75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</w:t>
            </w:r>
            <w:r w:rsidR="007E570D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526</w:t>
            </w:r>
            <w:r w:rsidR="007E570D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431,</w:t>
            </w:r>
          </w:p>
          <w:p w:rsidR="00666B75" w:rsidRPr="002D639B" w:rsidRDefault="00666B75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</w:t>
            </w:r>
            <w:r w:rsidR="00066FBF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E570D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526</w:t>
            </w:r>
            <w:r w:rsidR="007E570D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441,</w:t>
            </w:r>
          </w:p>
          <w:p w:rsidR="00666B75" w:rsidRPr="002D639B" w:rsidRDefault="00B645B8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prime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prime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insurance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6A42B1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2" w:history="1"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ayakhshibekyan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prime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insurance</w:t>
              </w:r>
              <w:r w:rsidR="006A42B1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6A42B1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</w:p>
        </w:tc>
        <w:tc>
          <w:tcPr>
            <w:tcW w:w="11198" w:type="dxa"/>
            <w:vAlign w:val="center"/>
          </w:tcPr>
          <w:p w:rsidR="00666B75" w:rsidRPr="001354D6" w:rsidRDefault="0067580D" w:rsidP="001354D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</w:t>
            </w:r>
            <w:r w:rsidR="00666B75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который касается не только Армении.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Евразийском Экономическом Союзе исключена процедура таможенного оформления грузов, что значительно облегчило организацию перевозок, но в то же время вызвало ряд проблем, связанных со спецификой перевозки ценных грузов. В соответствии с принятыми международными нормами, перевозка ценностей осуществляется авиационным транспортом, в частности регулярным рейсом авиакомпаний, самолеты которых имеют необходимые условия для перевозки ценных грузов, включая страховое покрытие, и товар проходит таможенное оформление.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 нас же при наличии прямых рейсов в страны ЕАЭС, ценные грузы не декларируются таможенными органами и не пломбируются ими. Внешняя упаковка пломбируется только перевозчиком, который не несет ответственности за содержимое груза, если нет повреждения целостности упаковки, и не подтверждает соответствие груза параметрам указанным в сопроводительных документах.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Учитывая малый объем и большую стоимость ювелирных изделий и драгоценных камней, в условиях такой неопределенности ответственность авиакомпаний и аэропортов стран ЕАЭС, при обслуживании ценных грузов не конкретизирована. Высок как риск потерь, так и риск незаконного оборота камней и изделий.</w:t>
            </w:r>
          </w:p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 же учитывая, что большинство авиакомпаний стран ЕАЭС и их авиационных бортов не имеют условий для перевозки ценностей и на них не может распространяться страховое покрытие, неизбежна перевозка этих грузов западными авиакомпаниями, имеющими необходимые условия и совершающими рейсы в страны Таможенного Союза. В этом случае возникает необходимость заполнения транзитной декларации, оформление которой урегулировано не во всех странах союза.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25349" w:rsidRDefault="00225349" w:rsidP="00225349">
            <w:pPr>
              <w:tabs>
                <w:tab w:val="left" w:pos="284"/>
                <w:tab w:val="left" w:pos="851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Позиция ЕЭК: На Консультативном комитете по вопросам предпринимательства состоявшегося в июле 2016 года </w:t>
            </w:r>
            <w:r w:rsidRPr="00225349">
              <w:rPr>
                <w:rFonts w:ascii="Times New Roman" w:eastAsia="Calibri" w:hAnsi="Times New Roman" w:cs="Times New Roman"/>
                <w:b/>
                <w:bCs/>
                <w:sz w:val="28"/>
                <w:lang w:val="ru-RU"/>
              </w:rPr>
              <w:t>директор Департамента таможенно-тарифного и нетарифного регулирования ЕЭК Г.К.</w:t>
            </w:r>
            <w:r w:rsidRPr="00225349">
              <w:rPr>
                <w:rFonts w:ascii="Times New Roman" w:eastAsia="Calibri" w:hAnsi="Times New Roman" w:cs="Times New Roman"/>
                <w:b/>
                <w:bCs/>
                <w:sz w:val="28"/>
              </w:rPr>
              <w:t> </w:t>
            </w:r>
            <w:r w:rsidRPr="00225349">
              <w:rPr>
                <w:rFonts w:ascii="Times New Roman" w:eastAsia="Calibri" w:hAnsi="Times New Roman" w:cs="Times New Roman"/>
                <w:b/>
                <w:bCs/>
                <w:sz w:val="28"/>
                <w:lang w:val="ru-RU"/>
              </w:rPr>
              <w:t>Кочарян</w:t>
            </w:r>
            <w:r w:rsidRPr="00225349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сообщил о том</w:t>
            </w:r>
            <w:r w:rsidRPr="00225349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, что в настоящее время проект Соглашения дополнен приложением № 4, предусматривающим порядок осуществления перевозки драгоценных металлов, драгоценных камней и изделий из них, включая права, обязанности и ответственность всех участников процесса такой перевозки.</w:t>
            </w:r>
          </w:p>
          <w:p w:rsidR="00361D1B" w:rsidRPr="00225349" w:rsidRDefault="000F281C" w:rsidP="00225349">
            <w:pPr>
              <w:tabs>
                <w:tab w:val="left" w:pos="284"/>
                <w:tab w:val="left" w:pos="851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В настоящее время </w:t>
            </w:r>
            <w:r w:rsidR="00361D1B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по информации профильного 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Департамента</w:t>
            </w:r>
            <w:r w:rsidR="00361D1B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предложения направлены Сторонам, пока позиции Сторон не представлены.</w:t>
            </w:r>
          </w:p>
          <w:p w:rsidR="00500161" w:rsidRPr="001354D6" w:rsidRDefault="00225349" w:rsidP="0022534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666B75" w:rsidRPr="00C55B03" w:rsidRDefault="00666B75" w:rsidP="00D11427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Ваган Хуршудян, </w:t>
            </w:r>
            <w:r w:rsidR="00AE4D5A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6A42B1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AE4D5A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грузоперевозкам </w:t>
            </w:r>
            <w:r w:rsidR="006A42B1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 Тир</w:t>
            </w:r>
            <w:r w:rsidR="006A42B1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E4D5A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99 598</w:t>
            </w:r>
            <w:r w:rsidR="007E570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818, </w:t>
            </w:r>
            <w:r w:rsidR="00AE4D5A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cartir@mail.ru</w:t>
            </w:r>
          </w:p>
        </w:tc>
        <w:tc>
          <w:tcPr>
            <w:tcW w:w="11198" w:type="dxa"/>
            <w:vAlign w:val="center"/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вступления Армении в ЕАЭС Россия запретила перевозки спиртных напитков крепостью свыше 25% автоцистернами, зарег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стрированными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РА. Поэтому армянский коньяк, коньячный спирт и т.д. из РА в РФ перев</w:t>
            </w:r>
            <w:r w:rsid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озят только автоцистерны, зарег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стрированные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РФ. Этот барьер не дает возможность работать армянским грузоперевозочным компаниям. Ситуация становится более критичным, если учитывать тот факт, что у транспортных компаний имеются коммерческ</w:t>
            </w:r>
            <w:r w:rsid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договоры по доставкам спиртн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C539C1" w:rsidRPr="00C5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напитков. Отмечаем, что у армянских грузоперевозчиков имеются документы по соответствию автоцистерн международным стандартам.</w:t>
            </w:r>
          </w:p>
          <w:p w:rsidR="00776984" w:rsidRPr="001354D6" w:rsidRDefault="00776984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0ADC" w:rsidRPr="00627A3E" w:rsidRDefault="008E0ADC" w:rsidP="001354D6">
            <w:pPr>
              <w:spacing w:line="216" w:lineRule="auto"/>
              <w:ind w:firstLine="3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Позиция ЕЭК: </w:t>
            </w:r>
            <w:r w:rsidRPr="00627A3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Настоящее требование распространялось на перевозчиков из Республики Армения и до вступления Республики Армения в ЕАЭС. </w:t>
            </w:r>
          </w:p>
          <w:p w:rsidR="008E0ADC" w:rsidRPr="00627A3E" w:rsidRDefault="008E0ADC" w:rsidP="001354D6">
            <w:pPr>
              <w:spacing w:line="216" w:lineRule="auto"/>
              <w:ind w:firstLine="3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27A3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Требование по обязательной перевозке спиртных напитков крепостью более 25% автоцистернами, оснащенными ГЛОНАСС, является лицензионным требованием. </w:t>
            </w:r>
          </w:p>
          <w:p w:rsidR="003362DC" w:rsidRPr="00627A3E" w:rsidRDefault="008E0ADC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7A3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 этой связи, учитывая наличие в ИНП Российской Федерации изъятия по лицензированию, настоящее требование не является барьером.</w:t>
            </w:r>
            <w:r w:rsidRPr="00627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75" w:rsidRPr="00146CF8" w:rsidTr="009A6DBA">
        <w:trPr>
          <w:trHeight w:val="3178"/>
        </w:trPr>
        <w:tc>
          <w:tcPr>
            <w:tcW w:w="534" w:type="dxa"/>
            <w:tcBorders>
              <w:bottom w:val="single" w:sz="4" w:space="0" w:color="auto"/>
            </w:tcBorders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42B1" w:rsidRPr="00C55B03" w:rsidRDefault="006A42B1" w:rsidP="006A42B1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Ашот Аветисян</w:t>
            </w:r>
            <w:r w:rsidR="006548E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E4D5A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«Био-Хим»</w:t>
            </w:r>
            <w:r w:rsidR="006548E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66B75" w:rsidRDefault="007E570D" w:rsidP="002D639B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2D639B">
              <w:rPr>
                <w:rFonts w:ascii="Times New Roman" w:hAnsi="Times New Roman" w:cs="Times New Roman"/>
                <w:sz w:val="28"/>
                <w:szCs w:val="28"/>
              </w:rPr>
              <w:t>10 425 679,</w:t>
            </w:r>
          </w:p>
          <w:p w:rsidR="002D639B" w:rsidRPr="002D639B" w:rsidRDefault="002D639B" w:rsidP="002D639B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info@biochem.am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Возникают проблемы при осуществлении финансовы</w:t>
            </w:r>
            <w:r w:rsidR="0075618D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операци</w:t>
            </w:r>
            <w:r w:rsidR="0075618D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т.к. армянские предприятия не являются резидентами РФ (в частности при закупке сырья и материалов </w:t>
            </w:r>
            <w:r w:rsidR="00500161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РФ).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618D" w:rsidRDefault="0075618D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Позиция ЕЭК: приобретение товаров (сырья, материалов) на территории  других стран-членов ЕАЭС осуществляется  согласно внутреннего законодательства этих стран. Если закуп производят физические лица</w:t>
            </w:r>
            <w:r w:rsidR="00470DD9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то НДС при ввозе этих товаров на территорию Армении не взимается.  Если </w:t>
            </w:r>
            <w:r w:rsidR="006B0DC9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приобретение тов</w:t>
            </w:r>
            <w:r w:rsidR="00434FB6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6B0DC9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ров производит юридическое лицо 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применяется нулевая ставка </w:t>
            </w:r>
            <w:r w:rsidR="00434FB6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НДС. В этом случае лицо</w:t>
            </w:r>
            <w:r w:rsidR="00470DD9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434FB6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приобретающее товар, должно направить Заявление в установленном порядке.</w:t>
            </w:r>
          </w:p>
          <w:p w:rsidR="0075618D" w:rsidRPr="001354D6" w:rsidRDefault="0075618D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260" w:type="dxa"/>
          </w:tcPr>
          <w:p w:rsidR="006A42B1" w:rsidRPr="002D639B" w:rsidRDefault="006A42B1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Сона Костанян</w:t>
            </w:r>
            <w:r w:rsidR="006548ED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2504" w:rsidRPr="00C55B03" w:rsidRDefault="00B02504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«АР и АР дизайн к</w:t>
            </w:r>
            <w:r w:rsidR="006A42B1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нстракшн»</w:t>
            </w:r>
            <w:r w:rsidR="00E2516B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48ED" w:rsidRPr="00C55B03" w:rsidRDefault="00E2516B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6548E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60 755 000</w:t>
            </w:r>
            <w:r w:rsidR="006548ED" w:rsidRPr="00C55B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8ED" w:rsidRPr="00C55B03" w:rsidRDefault="00B645B8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548ED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info@ar-ar.am</w:t>
              </w:r>
            </w:hyperlink>
            <w:r w:rsidR="006548ED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16B" w:rsidRPr="00C55B03" w:rsidRDefault="00E2516B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vAlign w:val="center"/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компании отказываются работать на экспорт в Армению с 0% НДС из-за боязни, что им не предоставят вовремя справку об уплате НДС и они должны сами платить НДС (в том числе штрафы за просрочку уплаты НДС). Проблемы с налоговой службой, которые связаны с выплатой НДС</w:t>
            </w:r>
            <w:r w:rsidR="00434FB6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34FB6" w:rsidRPr="001354D6" w:rsidRDefault="00434FB6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Позиция ЕЭК: вопросы предоставления Заявления и других подтверждающих документов находятся в гражданско-правовом поле. Налоговые органы фактически не могут регулировать этот вопрос из-за отсутствия информации о таких поставках</w:t>
            </w:r>
            <w:r w:rsidR="003A7669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до получения информации об уплате косвенных налогов и направления Заявления в адрес налогового органа экспортера.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Необходимо оговаривать условия поставки, в том числе предоставление Заявления в договорах купли-продажи товаров. 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260" w:type="dxa"/>
          </w:tcPr>
          <w:p w:rsidR="006548ED" w:rsidRPr="00C55B03" w:rsidRDefault="006548E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Самвел Бабаян,</w:t>
            </w:r>
          </w:p>
          <w:p w:rsidR="006548ED" w:rsidRPr="002D639B" w:rsidRDefault="006548E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</w:t>
            </w:r>
            <w:r w:rsidR="007E570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«ЕС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силвер</w:t>
            </w:r>
            <w:r w:rsidR="007E570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66B75" w:rsidRPr="002D639B" w:rsidRDefault="007E570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(374) 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98 147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477</w:t>
            </w:r>
            <w:r w:rsidR="006548ED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48ED" w:rsidRPr="002D639B" w:rsidRDefault="006548E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8ED" w:rsidRPr="00C55B03" w:rsidRDefault="006548E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Гагик Кафян,</w:t>
            </w:r>
          </w:p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ОАО «Ерерванский ювелирный </w:t>
            </w:r>
          </w:p>
          <w:p w:rsidR="00666B75" w:rsidRPr="002D639B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завод -1 «Гномон»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66B75" w:rsidRPr="00C55B03" w:rsidRDefault="005D3C09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</w:t>
            </w: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525</w:t>
            </w: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</w:t>
            </w:r>
          </w:p>
        </w:tc>
        <w:tc>
          <w:tcPr>
            <w:tcW w:w="11198" w:type="dxa"/>
            <w:vAlign w:val="center"/>
          </w:tcPr>
          <w:p w:rsidR="00500161" w:rsidRDefault="00A65212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Вопрос: </w:t>
            </w:r>
            <w:r w:rsidR="00666B75" w:rsidRPr="001354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Образование НДС для компаний, работающих по упрощенной системе налогообложения в РА</w:t>
            </w:r>
            <w:r w:rsidR="00627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740F" w:rsidRPr="001354D6" w:rsidRDefault="00F6740F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Позиция ЕЭК: основным принципом налогообложения является то, что налог, в данном случае НДС, должен быть уплачен в какой-либо стране-члене ЕАЭС. </w:t>
            </w:r>
          </w:p>
          <w:p w:rsidR="00C652CE" w:rsidRPr="001354D6" w:rsidRDefault="00F6740F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 соответствии с пунктом 13 приложения №18 НДС уплачивается собственником товаров, включая налогоплательщиков, применяющих специальные режимы налогообложения. В Вашем случае, по всей видимости, возникает вопрос предоставления Заявления налогоплательщиками, освобожденными в своей стране от уплаты   НДС, например, индивидуальные предприниматели, предприятия</w:t>
            </w:r>
            <w:r w:rsidR="00DC5781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использующие труд </w:t>
            </w:r>
            <w:r w:rsidR="00DC5781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льготируемых категорий граждан и т.п.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21FE2" w:rsidRPr="001354D6" w:rsidRDefault="00821FE2" w:rsidP="00C539C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Необходимо отметить, что при поставке това</w:t>
            </w:r>
            <w:r w:rsidR="00C53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ров из третьих стран при</w:t>
            </w:r>
            <w:r w:rsidR="00C539C1" w:rsidRPr="00C53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растаможивании </w:t>
            </w: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уплата таможенных и налоговых платежей производится в установленном порядке, независимо от применения специальных режимов налогообложения.</w:t>
            </w:r>
          </w:p>
        </w:tc>
      </w:tr>
      <w:tr w:rsidR="00666B75" w:rsidRPr="00146CF8" w:rsidTr="00FB315C">
        <w:trPr>
          <w:trHeight w:val="2449"/>
        </w:trPr>
        <w:tc>
          <w:tcPr>
            <w:tcW w:w="534" w:type="dxa"/>
            <w:tcBorders>
              <w:bottom w:val="single" w:sz="4" w:space="0" w:color="auto"/>
            </w:tcBorders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Гагик Кафян,</w:t>
            </w:r>
          </w:p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ОАО «Ерерванский ювелирный </w:t>
            </w:r>
          </w:p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завод -1 «Гномон»,</w:t>
            </w:r>
          </w:p>
          <w:p w:rsidR="00666B75" w:rsidRPr="002D639B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5D3C09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3C09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525</w:t>
            </w:r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D3C09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</w:t>
            </w: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48ED" w:rsidRPr="002D639B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Самвел Бабаян,</w:t>
            </w:r>
          </w:p>
          <w:p w:rsidR="006548ED" w:rsidRPr="00C55B03" w:rsidRDefault="006548ED" w:rsidP="006548E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ООО «ЕС силвер»,</w:t>
            </w:r>
          </w:p>
          <w:p w:rsidR="00666B75" w:rsidRPr="00C55B03" w:rsidRDefault="006548E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(374) 98 147 477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Двойное налогообложение и штрафные санкции в РА из</w:t>
            </w:r>
            <w:r w:rsidR="00074F5F"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 не предоставления заявления об уплате НДС в РК при торгово-ярмарочной деятельности и розничной торговли</w:t>
            </w:r>
            <w:r w:rsidR="00074F5F"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074F5F" w:rsidRPr="001354D6" w:rsidRDefault="00074F5F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Поз</w:t>
            </w:r>
            <w:r w:rsidR="00D244DF"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иция ЕЭК: вопрос рассмотрен на К</w:t>
            </w: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онсультативном комитете по налоговой политике и администрированию. Республика Казахстан подтвердила, что в случае наличия соответствующего договора между участником выставки (ярмарки) и организатором выставки (ярмарки)  НДС будет  удерживаться  организатором выставки, а в адрес участника выставки будет направляться Заявление.</w:t>
            </w:r>
          </w:p>
          <w:p w:rsidR="00074F5F" w:rsidRPr="001354D6" w:rsidRDefault="00074F5F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Письмо КГД МФ Республики Казахстан будет предоставлено по мере его получения.</w:t>
            </w:r>
          </w:p>
        </w:tc>
      </w:tr>
      <w:tr w:rsidR="00666B75" w:rsidRPr="00146CF8" w:rsidTr="009E2B79">
        <w:trPr>
          <w:trHeight w:val="1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AE4D5A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5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D63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Насколько возможно без членства аудиторских организаций и других специализированных компаний Армении в профессиональной ассоциации или палаты, созданных в других государствах- членах ЕАЭС, осуществлять предоставление услуг иностранной компании? </w:t>
            </w:r>
          </w:p>
          <w:p w:rsidR="00633117" w:rsidRPr="001354D6" w:rsidRDefault="00633117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E6419" w:rsidRDefault="00633117" w:rsidP="003E6419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Позиция ЕЭК:</w:t>
            </w:r>
            <w:r w:rsidR="00C420A6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E6419" w:rsidRDefault="003E6419" w:rsidP="003E6419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Решением Консультативного комитета по финансовым рынкам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от 3.10.2014 г. одобрена Концепция проекта Соглашения об аудиторской деятельности на территории Таможенного союза и Единого экономического пространства. В соответствии с Концепцией предусматривается решение вопросов, связанных, в том числе, с допуском к аудиторской деятельности, включая требования к получению статуса аудитора и аудиторской организации, требования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профессиональной аттестации и повышению квалификации </w:t>
            </w:r>
            <w:r w:rsidR="00490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аудиторов.</w:t>
            </w:r>
          </w:p>
          <w:p w:rsidR="00490EF7" w:rsidRPr="001354D6" w:rsidRDefault="00490EF7" w:rsidP="003E6419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декабре 2016 года на Консультативном комитете по финансовым рынкам будет рассмотрен данный вопрос и последующего направления Сторонам для проведения внутригосударственного согласования.</w:t>
            </w:r>
          </w:p>
          <w:p w:rsidR="003E6419" w:rsidRDefault="003E6419" w:rsidP="003E6419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Кроме того, с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огласно Решению Высшего Евразийского экономического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23.12.2014г. № 112, в индивидуальном национальном перечне ограничений и изъятий Российской Федерации предусмотрено только то, что коммерческая организация в сфере аудиторской деятельности может быть создана в любой организационно-правовой форме, за исключением публичного акционерного общества,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муниципального унитарного предприятия (пункт 9 Перечня). Приложение №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Протоколу также не содержит какие-либо ограничения, касающиеся поставок аудиторских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услуг в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490EF7" w:rsidRDefault="00490EF7" w:rsidP="00490EF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Таким образом, в</w:t>
            </w:r>
            <w:r w:rsidRPr="00453E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рамках функционирования единого рынка аудиторских услуг будет предусмотрено, в том числе, автоматическое признание профессиональной квалификации персонала поставщика услуг.</w:t>
            </w:r>
          </w:p>
          <w:p w:rsidR="00185DF4" w:rsidRPr="00453E80" w:rsidRDefault="00185DF4" w:rsidP="00490EF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90EF7" w:rsidRDefault="00490EF7" w:rsidP="00490EF7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Справочно</w:t>
            </w:r>
            <w:r w:rsidR="00C539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  <w:r w:rsidR="00C539C1" w:rsidRPr="00C539C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В соответствии с п. 1 ст. 65 Договора о ЕАЭС обеспечение свободы торговли услугами, учреждения, деятельности и осуществления инвестиций в рамках Союза регулируется разделом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XV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Договора о ЕАЭС и Приложением № 16 к Договору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br/>
              <w:t>о ЕАЭС «Протокол о торговле услугами, учреждении, деятельности и осуществлении инвестиций»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</w:p>
          <w:p w:rsidR="00490EF7" w:rsidRDefault="00490EF7" w:rsidP="00490EF7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 соответствии с п. 42 Протокола порядок и этапы формирования единого рынка услуг по отдельным секторам предусматриваются планами либерализации, разрабатываемыми на основании согласованных предл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ожений государств-членов </w:t>
            </w:r>
            <w:r w:rsidRPr="00135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 Комиссии, утверждаемыми Высшим Евразийским экономическим советом.  </w:t>
            </w:r>
          </w:p>
          <w:p w:rsidR="00490EF7" w:rsidRPr="00490EF7" w:rsidRDefault="00490EF7" w:rsidP="00490EF7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П.</w:t>
            </w:r>
            <w:r w:rsid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35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Протокола определено, что за исключением ограничений</w:t>
            </w:r>
            <w:r w:rsid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 требований, указанных в национальном перечне или в Приложении № 2 к Протоколу, с учетом положений 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XXVI</w:t>
            </w:r>
            <w:r w:rsidRPr="00490EF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Договора о ЕАЭС каждое государство не применяет и не вводит ограничения, связанные с наймом работников в отношении деятельности созданного, приобретенного или контролируемого юридического лица, филиала, представительства, зарегистрированного индивидуального предпринимателя.</w:t>
            </w:r>
          </w:p>
          <w:p w:rsidR="00185DF4" w:rsidRPr="005D3B19" w:rsidRDefault="00185DF4" w:rsidP="00185DF4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Согласно п. </w:t>
            </w:r>
            <w:r w:rsidRP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37 Протокола с учетом положений раздела </w:t>
            </w:r>
            <w:r w:rsidRPr="00185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XXVI</w:t>
            </w:r>
            <w:r w:rsidRP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Договора </w:t>
            </w:r>
            <w:r w:rsidRP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br/>
              <w:t xml:space="preserve">о ЕАЭС каждое государство-член не применяет и не вводит ограничения </w:t>
            </w:r>
            <w:r w:rsidRPr="00185D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br/>
              <w:t>в отношении физических лиц, принимающих участие в торговле услугами способом, осуществляемым поставщиком услуг одного государства-члена путем присутствия физических лиц этого государства-члена на территории другого государства-члена.</w:t>
            </w:r>
          </w:p>
          <w:p w:rsidR="00500161" w:rsidRPr="001354D6" w:rsidRDefault="00972A99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666B75" w:rsidRPr="00146CF8" w:rsidTr="00FB315C">
        <w:trPr>
          <w:trHeight w:val="1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7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Насколько возможно без учреждения филиала осуществлять торговлю услугами на территории государства-члена ЕАЭС, в частности, Российской Федерации?</w:t>
            </w:r>
          </w:p>
          <w:p w:rsidR="00627A3E" w:rsidRPr="001354D6" w:rsidRDefault="00627A3E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B1220F" w:rsidRPr="005D3B19" w:rsidRDefault="00D607AD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ЕЭК: </w:t>
            </w:r>
            <w:r w:rsidR="00B1220F"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Требования по учреждению </w:t>
            </w:r>
            <w:r w:rsidR="00627A3E"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филиала </w:t>
            </w:r>
            <w:r w:rsidR="00B1220F"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при поставке услуг на территории государства-члена ЕАЭС исполняются субъектами предпринимательства (поставщиками) в зависимости от услуги, которую они поставляют, и от формы поставки услуг, предусмотренных пп. 22 п. 6 Протокола о торговле услугами, учреждении, деятельности и осуществлении деятельности, являющегося приложением № 16 к Договору о Евразийском экономическом союзе (далее – Протокол).  </w:t>
            </w:r>
          </w:p>
          <w:p w:rsidR="00B1220F" w:rsidRPr="005D3B19" w:rsidRDefault="00B1220F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Так согласно указанной норме Протокола предусмотрены 4 формы поставки услуг:</w:t>
            </w:r>
          </w:p>
          <w:p w:rsidR="00B1220F" w:rsidRPr="005D3B19" w:rsidRDefault="00B1220F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трансграничная форма (когда поставщик одного государства-члена оказывает услуг получателю услуг другой Стороны не пересекая границы); </w:t>
            </w:r>
          </w:p>
          <w:p w:rsidR="00B1220F" w:rsidRPr="005D3B19" w:rsidRDefault="00B1220F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так называя «потребление за рубежом» (когда поставщик одного государства-члена оказывает услугу получателю услуг другой Стороны на территории своего государства); </w:t>
            </w:r>
          </w:p>
          <w:p w:rsidR="00B1220F" w:rsidRPr="005D3B19" w:rsidRDefault="00B1220F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путем коммерческого присутствия (когда поставщик одного государства-члена для поставки услуг в другом государстве-члене должен там учредиться); </w:t>
            </w:r>
          </w:p>
          <w:p w:rsidR="00B1220F" w:rsidRPr="005D3B19" w:rsidRDefault="00B1220F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путем присутствия работника поставщика услуг на территории другой Стороны (когда поставщик услуг одного государства-члена оказывает услугу путем присутствия физического лица этого государства-члена на территории другой Стороны). </w:t>
            </w:r>
          </w:p>
          <w:p w:rsidR="00B1220F" w:rsidRPr="005D3B19" w:rsidRDefault="0068734F" w:rsidP="001354D6">
            <w:pPr>
              <w:tabs>
                <w:tab w:val="left" w:pos="851"/>
              </w:tabs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 w:rsidR="00B1220F" w:rsidRPr="005D3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При этом для целей налогообложения, положения Протокола не исключают возможность открытия «постоянного представительства» в понимании Соглашения между Правительством Российской Федерации и Правительством Республики Армения об устранении двойного налогообложения на доходы и имущество от 28.12.1996г.</w:t>
            </w:r>
          </w:p>
          <w:p w:rsidR="00500161" w:rsidRPr="00453E80" w:rsidRDefault="00B1220F" w:rsidP="001354D6">
            <w:pPr>
              <w:tabs>
                <w:tab w:val="left" w:pos="851"/>
              </w:tabs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 этой связи в  целях полноценного функционирования ЕРУ, как высшей степени свободы и во избежание разночтений при применении правил ЕРУ, считаем необходимым внести изменения в пункт 38 Протокола, исключив слова «в форме юридического лица».</w:t>
            </w:r>
          </w:p>
        </w:tc>
      </w:tr>
      <w:tr w:rsidR="00666B75" w:rsidRPr="00146CF8" w:rsidTr="00FB315C">
        <w:trPr>
          <w:trHeight w:val="544"/>
        </w:trPr>
        <w:tc>
          <w:tcPr>
            <w:tcW w:w="534" w:type="dxa"/>
            <w:tcBorders>
              <w:top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19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Подготовить четк</w:t>
            </w:r>
            <w:r w:rsidR="007426C8"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ое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разъяснение-инструкцию касательно действий при экспорте услуг некоторых сфер, наиболее важных для рынка ЕАЭС, таких как, например: аудиторские, юридические, маркетинговые услуги, услуги в сфере информационных технологий, архитектурных услуг и услуг проектирования.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84D24" w:rsidRPr="001354D6" w:rsidRDefault="007426C8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ЕЭК: </w:t>
            </w:r>
            <w:r w:rsidR="00D84D24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реализацию пункта 61 Протокола Комиссией по согласованию с государствами-членами разработаны Правила регулирования торговли услугами, учреждения и деятельности (далее – Правила) для обеспечения того, чтобы разрешительные требования и процедуры не создавали неоправданных барьеров при торговле услугами, учреждении и деятельности. 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примеру, Правилами предусмотрены нормы: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 установлению законодательством государств-членов не только требований,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но и содержания и формы документов (включая их наименование), подтверждающие соответствие адресата регулирования, его услуг, учреждения, деятельности и (или) действий таким требованиям. Данная норма обеспечивает транспарентность и точность, запрашиваемых от адресатов регулирования документов компетентными органами при осуществлении ими разрешительных процедур.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исключению требования нотариального заверения документов, в случае предъявления их оригиналов для сверки;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установлении законодательством государств-членов обязанности компетентных органов проверять полноту комплекта документов, представленных заявителем для получения разрешения.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Таким образом, положения Правил обеспечат необременительное для адресатов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регулирования исполнение требований законодательства государств-членов. </w:t>
            </w:r>
          </w:p>
          <w:p w:rsidR="00D84D24" w:rsidRPr="001354D6" w:rsidRDefault="00D84D24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были одобрены Членами Совета Евразийского экономического совета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заседании от 12.02.2016г. и будут внесены на утверждение Высшего совета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 последующей реализацией через законодательство государств-членов.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56"/>
        </w:trPr>
        <w:tc>
          <w:tcPr>
            <w:tcW w:w="534" w:type="dxa"/>
            <w:tcBorders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  <w:r w:rsidR="00666B75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0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21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Резидент (юридическое лицо или индивидуальный предприниматель) одного государства-члена Евразийского: экономического союза осуществляет торговлю услугами, предоставляя их резиденту другого государства-члена ЕАЭС.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Ситуация: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Резидент (юридическое лицо или индивидуальный предприниматель) одного государства-члена Евразийского экономического союза осуществляет торговлю услугами, предоставляя их резиденту другого государства-члена: ЕАЭС. Согласно подпункту 22 пункта б Приложения № 16 Договора о ЕАЭС понятие "торговля услугами" подразумевает поставку услуг, включающую в себя производство, распределение, маркетинг, продажу и доставку услуг и осуществляемую следующими способами:  территории одного государства-члена на территорию любого другого государства-члена; на территории одного государства-члена лицом этого государства-члена получателю услуг другого государства-члена; поставщиком услуг одного государства-члена путем учреждения предприятия на территории другого государства-члена; поставщиком услуг одного государства-члена путем присутствия физических лиц этого государства-члена на территории другого государства-члена.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При этом, при торговле услугами действует несколько режимов: национальный, режим наибольшего благоприятствования и количественные и инвестиционные меры. Как стало известно, для предоставления услуг в РФ необходимо как минимум зарегистрировать там филиал. Если это действительно так, то мы считаем, что это может быть рассмотрен как барьер. Также это может классифицироваться как отход от общепринятого правила, применяемого в налоговых Международных договорах. Речь идет о понятии "постоянного представительства". Учитывая тот факт, что предоставляющая услуги компания имеет государственную регистрацию в стране, являющейся членом ЕАЭС, например, в РА, считаем излишним </w:t>
            </w: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требования учреждения филиала в РФ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 Тем более что такой подход не будет содействовать удешевлению грузоперевозок из РА, ведь в случае товаров это требующая больших затрат услуга.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66B75" w:rsidRPr="001354D6" w:rsidRDefault="002B74E2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 </w:t>
            </w:r>
            <w:r w:rsidR="00627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аналогична, позиции, указанной в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вопрос</w:t>
            </w:r>
            <w:r w:rsidR="00627A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№10 таблицы.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293"/>
        </w:trPr>
        <w:tc>
          <w:tcPr>
            <w:tcW w:w="534" w:type="dxa"/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260" w:type="dxa"/>
          </w:tcPr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5D3C09" w:rsidRPr="00C55B03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предпринимателей 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Армении,</w:t>
            </w:r>
          </w:p>
          <w:p w:rsidR="005D3C09" w:rsidRPr="002D639B" w:rsidRDefault="005D3C09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5D3C09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5D3C09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23" w:history="1"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5D3C09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5D3C09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</w:tc>
        <w:tc>
          <w:tcPr>
            <w:tcW w:w="11198" w:type="dxa"/>
            <w:vAlign w:val="center"/>
          </w:tcPr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Необходимо отрегулировать торгово-ярмарочную деятельность на территории ЕАЭС. по части уплаты НДС при розничной торговле.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 настоящее время из числа стран членов 'ЁАЭС, только в Казахстане организаторы 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ярмарок пр</w:t>
            </w:r>
            <w:r w:rsidR="00793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именяют механизм оплаты НДС при </w:t>
            </w: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розничной торговле, хотя и он не соответствует требованиям действующего в ЕАЭС законодательства и: приводит к ситуации, с двойным налогообложением.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других странах-членах ЕАЭС вообще нет никакого подхода к данному вопросу.</w:t>
            </w:r>
          </w:p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частности, ОАО Ереванский ювелирный завод-1 «Гномон», осуществил оплату НДС от розничной торговли на ювелирной ярмарке Ару Алматы в 2015 г. на месте, через Организаторов ярмарки, однако факт оплаты не принимается налоговой инспекцией Армении (представляется обыкновенный чек, подтверждающий оплату), поскольку не соответствует форме, установленной в ЕАЭС: Декларации об импорте товаров и уплате НДС.</w:t>
            </w:r>
          </w:p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результате ОАО «Ереванский ювелирный завод-1 «Гномон» оказался под угрозой двойного налогообложения.</w:t>
            </w:r>
          </w:p>
          <w:p w:rsidR="00B72704" w:rsidRPr="001354D6" w:rsidRDefault="00B72704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67BC8" w:rsidRPr="001354D6" w:rsidRDefault="00667BC8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Позиция ЕЭК:</w:t>
            </w:r>
            <w:r w:rsidR="002803D8"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вопрос </w:t>
            </w:r>
            <w:r w:rsidR="00B72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был </w:t>
            </w:r>
            <w:r w:rsidR="002803D8"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рассмотрен на К</w:t>
            </w: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онсультативном комитете по налоговой политике и администрированию. Республика Казахстан подтвердила, что в случае наличия соответствующего договора между участником выставки (ярмарки) и организатором выставки (ярмарки)  НДС будет  удерживаться  организатором выставки, а в адрес участника выставки будет направляться Заявление.</w:t>
            </w:r>
          </w:p>
          <w:p w:rsidR="00500161" w:rsidRDefault="00667BC8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Письмо КГД МФ Республики Казахстан будет пред</w:t>
            </w:r>
            <w:r w:rsidR="004751BF"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оставлено по мере его получения</w:t>
            </w:r>
            <w:r w:rsidRPr="0013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(вопрос корреспондирует с 8 вопросом таблицы).</w:t>
            </w:r>
          </w:p>
          <w:p w:rsidR="001354D6" w:rsidRPr="001354D6" w:rsidRDefault="001354D6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1359"/>
        </w:trPr>
        <w:tc>
          <w:tcPr>
            <w:tcW w:w="534" w:type="dxa"/>
            <w:tcBorders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6002" w:rsidRPr="00C55B03" w:rsidRDefault="001C6002" w:rsidP="001C6002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Эдуард Киракосян,</w:t>
            </w:r>
          </w:p>
          <w:p w:rsidR="001C6002" w:rsidRPr="00C55B03" w:rsidRDefault="001C6002" w:rsidP="001C6002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промышленников</w:t>
            </w:r>
          </w:p>
          <w:p w:rsidR="001C6002" w:rsidRPr="00C55B03" w:rsidRDefault="001C6002" w:rsidP="001C6002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предпринимателей Армении,</w:t>
            </w:r>
          </w:p>
          <w:p w:rsidR="001C6002" w:rsidRPr="002D639B" w:rsidRDefault="001C6002" w:rsidP="001C6002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 10 540 717,</w:t>
            </w:r>
          </w:p>
          <w:p w:rsidR="00666B75" w:rsidRPr="002D639B" w:rsidRDefault="00B645B8" w:rsidP="001C6002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1C6002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arminco</w:t>
              </w:r>
              <w:r w:rsidR="001C6002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com</w:t>
              </w:r>
            </w:hyperlink>
            <w:r w:rsidR="001C6002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25" w:history="1"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1C6002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umba</w:t>
              </w:r>
              <w:r w:rsidR="001C6002" w:rsidRPr="002D63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1C6002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</w:t>
              </w:r>
            </w:hyperlink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6B75" w:rsidRPr="002D639B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666B75" w:rsidRPr="001354D6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давальческим сырьем (толлинг) на территории ЕАЭС.</w:t>
            </w:r>
          </w:p>
          <w:p w:rsidR="00666B75" w:rsidRDefault="00666B75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Нам представляют ситуацию так, что нет проблем с законодательством, однако по результатам наших уточнений с налоговыми органами выясняется, что процедура до конца еще не отрегулирована.</w:t>
            </w:r>
          </w:p>
          <w:p w:rsidR="00B72704" w:rsidRPr="001354D6" w:rsidRDefault="00B72704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972F9" w:rsidRPr="001354D6" w:rsidRDefault="0061425A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ЕЭК: </w:t>
            </w:r>
            <w:r w:rsidR="007972F9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Согласно </w:t>
            </w:r>
            <w:hyperlink r:id="rId26" w:history="1">
              <w:r w:rsidR="007972F9" w:rsidRPr="001354D6">
                <w:rPr>
                  <w:rFonts w:ascii="Times New Roman" w:hAnsi="Times New Roman" w:cs="Times New Roman"/>
                  <w:b/>
                  <w:sz w:val="28"/>
                  <w:szCs w:val="28"/>
                  <w:lang w:val="ru-RU"/>
                </w:rPr>
                <w:t>п. 2 ст. 72</w:t>
              </w:r>
            </w:hyperlink>
            <w:r w:rsidR="007972F9"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Договора о ЕАЭС взимание косвенных налогов при выполнении работ, оказании услуг осуществляется в государстве-члене, территория которого признается местом реализации работ, услуг.</w:t>
            </w:r>
          </w:p>
          <w:p w:rsidR="007972F9" w:rsidRPr="001354D6" w:rsidRDefault="007972F9" w:rsidP="001354D6">
            <w:pPr>
              <w:autoSpaceDE w:val="0"/>
              <w:autoSpaceDN w:val="0"/>
              <w:adjustRightInd w:val="0"/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Согласно пункту 31 раздела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«Порядок взимания косвенных налогов при выполнении работ, оказании услуг» Приложения №18 к Договору о ЕАЭС (далее – Приложение№ 18), при реализации работ по переработке давальческого сырья, ввезенного на территорию одного государства-члена с территории другого государства-члена с последующим вывозом продуктов переработки на территорию другого государства, порядок взимания НДС и обеспечение контроля за его уплатой осуществляется в соответствии с разделом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Приложения № 18,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если иное не установлено разделом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«Порядок взимания косвенных налогов при выполнении работ, оказании услуг», т.е. положения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раздела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обладают приоритетом по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отношению к 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разделу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Приложения № 18,  регулирующего  применение нулевой ставки НДС, для целей которого место реализации товаров определяется в соответствии с законодательством государств-членов.</w:t>
            </w:r>
          </w:p>
          <w:p w:rsidR="007972F9" w:rsidRPr="001354D6" w:rsidRDefault="007972F9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В свою очередь налоговая база по НДС определяется как стоимость выполненных работ по переработке давальческого сырья (п. 31 приложения № 18 к Договору о ЕАЭС). </w:t>
            </w:r>
          </w:p>
          <w:p w:rsidR="007972F9" w:rsidRPr="001354D6" w:rsidRDefault="007972F9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Заказчик после получения переработанного давальческого сырья направляет исполнителю соответствующее Заявление о ввозе товаров и уплате косвенных налогов (на объем стоимости переработки) для подтверждения факта выполнения работы. </w:t>
            </w:r>
          </w:p>
          <w:p w:rsidR="007972F9" w:rsidRPr="001354D6" w:rsidRDefault="007972F9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Пункт 32 Приложения </w:t>
            </w:r>
            <w:r w:rsidRPr="001354D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N</w:t>
            </w:r>
            <w:r w:rsidRPr="001354D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18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применяется к работам по переработке давальческого сырья, то есть имеет непосредственное отношение к переработчику давальческого сырья. Т.е. право на применение 0 ставки НДС по переработке давальческого сырья и обязанность ее подтвердить возникают именно у переработчика. При этом, условием для применения 0 ставки НДС является вывоз готовой продукции, являющейся результатом работ по переработке, с территории РА, где выполнялись эти  работы в РФ, РК, КР или РБ (страну заказчика работ). Соответственно, при ввозе с территории РА на территорию (например, РФ) продуктов переработки, полученных из давальческого сырья, у российской организации возникает обязанность произвести уплату НДС. Налог уплачивается в российский бюджет не позднее 20-го числа месяца, следующего за месяцем принятия на учет ввезенных продуктов, полученных в результате переработки давальческого сырья. В этот же срок организация – заказчик РФ  должна представить в налоговый орган налоговую декларацию, форм и порядок  заполнения налоговой декларации по косвенным налогам утверждены Приказом Минфина России от 7 июля 2010 г.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69н.  </w:t>
            </w:r>
          </w:p>
          <w:p w:rsidR="007972F9" w:rsidRPr="001354D6" w:rsidRDefault="007972F9" w:rsidP="001354D6">
            <w:pPr>
              <w:autoSpaceDE w:val="0"/>
              <w:autoSpaceDN w:val="0"/>
              <w:adjustRightInd w:val="0"/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документального подтверждения фактического вывоза товаров, произведенных из давальческого сырья (материалов), плательщикам предоставляется отсрочка - 180 дней.</w:t>
            </w:r>
          </w:p>
          <w:p w:rsidR="007972F9" w:rsidRPr="001354D6" w:rsidRDefault="007972F9" w:rsidP="001354D6">
            <w:pPr>
              <w:autoSpaceDE w:val="0"/>
              <w:autoSpaceDN w:val="0"/>
              <w:adjustRightInd w:val="0"/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пункте 32 Приложения указано, какие документы на бумажном носителе предоставляются для подтверждения обоснованности применения нулевой ставки НДС при реализации работ, указанных в пункте 31 Приложения.</w:t>
            </w:r>
          </w:p>
          <w:p w:rsidR="002B74E2" w:rsidRPr="001354D6" w:rsidRDefault="002B74E2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Справочно, если речь идет о заполнении Заявления, то графа 6 «Стоимость товара, работ»  как раз позволяет указать стоимость услуги по переработке.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B315C" w:rsidRPr="00146CF8" w:rsidTr="00FB315C">
        <w:trPr>
          <w:trHeight w:val="1359"/>
        </w:trPr>
        <w:tc>
          <w:tcPr>
            <w:tcW w:w="534" w:type="dxa"/>
            <w:tcBorders>
              <w:bottom w:val="single" w:sz="4" w:space="0" w:color="auto"/>
            </w:tcBorders>
          </w:tcPr>
          <w:p w:rsidR="00FB315C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315C" w:rsidRPr="00C55B03" w:rsidRDefault="00FB315C" w:rsidP="001354D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Эмиль Григорян,</w:t>
            </w:r>
          </w:p>
          <w:p w:rsidR="00FB315C" w:rsidRPr="00C55B03" w:rsidRDefault="00FB315C" w:rsidP="001354D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ювелиров Армении,</w:t>
            </w:r>
          </w:p>
          <w:p w:rsidR="00FB315C" w:rsidRPr="00C55B03" w:rsidRDefault="00FB315C" w:rsidP="001354D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71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711F76" w:rsidRPr="00711F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10 525 321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27" w:history="1">
              <w:r w:rsidRPr="00C55B03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kafyan_elia@rambler.ru</w:t>
              </w:r>
            </w:hyperlink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B315C" w:rsidRPr="00C55B03" w:rsidRDefault="00B645B8" w:rsidP="001354D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FB315C" w:rsidRPr="00C55B03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info@yerjewel.com</w:t>
              </w:r>
            </w:hyperlink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FB315C" w:rsidRPr="001354D6" w:rsidRDefault="00FB315C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вопроса технического характера:</w:t>
            </w:r>
          </w:p>
          <w:p w:rsidR="00FB315C" w:rsidRPr="001354D6" w:rsidRDefault="00FB315C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1-ый касается того, что мы получаем сигналы от российских партнеров о том, что у них возникает вопрос с уплатой НДС (при поставке, продаже товара). Это касается счетного плана. Т.е. технически они не могут осуществить оплату НДС и в устной форме заявили об этой проблеме в соответствующие налоговые инспекции. Принимаются ли меры по этому вопросу?</w:t>
            </w:r>
          </w:p>
          <w:p w:rsidR="00FB315C" w:rsidRPr="001354D6" w:rsidRDefault="00FB315C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2-ой вопрос касается переработки давальческого сырья: получаемое сырье  перерабатывается и отправляется обратно. Несмотря на то, что есть соглашение (18-ое, о косвенных налогах, где это описано). Но чисто технически по давальческому сырью его исполнить не возможно, потому что отсутствует бланк налоговой декларации. Прошу обратить внимание, т. К. уже который месяц из-за технических вопросов люди не могут работать.</w:t>
            </w:r>
          </w:p>
          <w:p w:rsidR="00FB315C" w:rsidRPr="001354D6" w:rsidRDefault="00FB315C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доппояснения заявителей, выяснено, что проблема состоит в налогообложении НДС всей стоимости продукции, созданной после переработки давальческого сырья, включая и стоимость ее переработки.</w:t>
            </w:r>
          </w:p>
          <w:p w:rsidR="00FB315C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пункте 32 Приложения указано какие документы на бумажном носителе предоставляются для подтверждения обоснованности применения нулевой ставки НДС при реализации работ, указанных в пункте 31 Приложения</w:t>
            </w:r>
            <w:r w:rsidR="00B72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72704" w:rsidRPr="001354D6" w:rsidRDefault="00B72704" w:rsidP="001354D6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2704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ЕЭК: </w:t>
            </w:r>
          </w:p>
          <w:p w:rsidR="00FB315C" w:rsidRPr="001354D6" w:rsidRDefault="00B72704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1. </w:t>
            </w:r>
            <w:r w:rsidR="00FB315C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ЕЭК не имеет полномочий решать технические проблемы территориальных налоговых органов. Рекомендуем обратиться с письменным заявлением в ФНС России.</w:t>
            </w:r>
          </w:p>
          <w:p w:rsidR="00FB315C" w:rsidRPr="001354D6" w:rsidRDefault="00B72704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2. </w:t>
            </w:r>
            <w:r w:rsidR="00FB315C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Формы налоговой декларации по косвенным налогам и Порядок их заполнения разрабатываются финансовыми органами государств-членов. По техническим вопросам о невозможности заполнения декларации необходимо письменно обратиться  </w:t>
            </w:r>
            <w:r w:rsidR="00FB315C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FB315C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уполномоченный финансовый орган государства-члена.</w:t>
            </w:r>
          </w:p>
          <w:p w:rsidR="00FB315C" w:rsidRPr="001354D6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Справочно, если речь идет о заполнении Заявления, то графа 6 «Стоимость товара, работ»  как раз позволяет указать стоимость услуги по переработке.</w:t>
            </w:r>
          </w:p>
          <w:p w:rsidR="00500161" w:rsidRPr="001354D6" w:rsidRDefault="00500161" w:rsidP="001354D6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FB315C" w:rsidRPr="00146CF8" w:rsidTr="00FB315C">
        <w:trPr>
          <w:trHeight w:val="1359"/>
        </w:trPr>
        <w:tc>
          <w:tcPr>
            <w:tcW w:w="534" w:type="dxa"/>
            <w:tcBorders>
              <w:bottom w:val="single" w:sz="4" w:space="0" w:color="auto"/>
            </w:tcBorders>
          </w:tcPr>
          <w:p w:rsidR="00FB315C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315C" w:rsidRPr="00C55B03" w:rsidRDefault="00FB315C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Арам Барсегян,</w:t>
            </w:r>
          </w:p>
          <w:p w:rsidR="00A6033C" w:rsidRPr="002D639B" w:rsidRDefault="00FB315C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«Юком», </w:t>
            </w:r>
          </w:p>
          <w:p w:rsidR="00FB315C" w:rsidRPr="002D639B" w:rsidRDefault="00FB315C" w:rsidP="00A6033C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(374)</w:t>
            </w:r>
            <w:r w:rsidR="00A6033C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1427" w:rsidRPr="00D1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11 444 444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hyperlink r:id="rId29" w:history="1">
              <w:r w:rsidR="00A6033C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arm.barseghyan@ucom.am</w:t>
              </w:r>
            </w:hyperlink>
            <w:r w:rsidR="00A6033C" w:rsidRPr="002D6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поводу круглых лесоматериалов (опоры ЛЭП) необходимо принять во внимание, что: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круглые лесоматериалы необходимы для прокладки оптоволокна для предоставления услуг связи и интернета;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круглые лесоматериалы необходимы также электросетевым компаниям;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круглые ле</w:t>
            </w:r>
            <w:r w:rsidR="00C539C1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соматериалы, обработа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 специальным раствором, обеспечивающим его сохранность под землей до 50 лет и </w:t>
            </w:r>
            <w:r w:rsidR="00A822A5" w:rsidRPr="00A822A5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огнеустойчивость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круглые лесоматериалы, обработанные специальным раствором, обеспечивающим его сохранность и </w:t>
            </w:r>
            <w:r w:rsidR="00A822A5" w:rsidRPr="00A822A5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огнеустойчивость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являются конечным продуктом и полностью пригодны к 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эксплуатации;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 конца года потребность круглых лесоматериалов составляет 3000 штук;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один круглый лесоматериал (столб) стоит 50 долларов США;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стоимость перевозки по маршруту через порты Кавказ-Поти в два раза дороже, чем автомобильным транспортом;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при перевозке до порта Поти стоимость вагона составляет 5000 долларов США, при этом дополнительно необходимо оплатить 2300 долларов США за перевозку порожнего вагона обратно из Армении в Россию.</w:t>
            </w:r>
          </w:p>
          <w:p w:rsidR="00FB315C" w:rsidRPr="001354D6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00161"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остановлением Правительства РФ №521 от 15.07.2010 убытие с территории Российской Федерации товаров (коды ТН ВЭД ТС 4401, 4403, 4404, 4406) не разрешено через таможенно-пропускной пункт Верхнего Ларса, которая является единствен</w:t>
            </w:r>
            <w:r w:rsidR="00CB6561"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действующей сухопутной магистралью между Россией и Арменией. Как известно, Армения со 2 января, 2015 года стала полноправным участником Евразийского экономического союза, однако вышеуказанное постановление правительства РФ противоречит ЕАЭС договоренностям, так как Армения и РФ фактически находятся в одном таможенном пространстве.</w:t>
            </w:r>
          </w:p>
          <w:p w:rsidR="00FB315C" w:rsidRDefault="00FB315C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 связи с вышеуказанным, Просим Правительство РФ пересмотреть постановление №521 от 15.07.2010 года и включить таможенно-пропускной пункт Верхнего Ларса в число пунктов пропуска через государственную границу Российской Федерации для убытия с территории Российской Федерации обозначенных далее товаров - коды ТН ВЭД ТС 4401, 4403, 4404, 4406.</w:t>
            </w:r>
          </w:p>
          <w:p w:rsidR="00CD00C3" w:rsidRPr="001354D6" w:rsidRDefault="00CD00C3" w:rsidP="001354D6">
            <w:pPr>
              <w:spacing w:line="216" w:lineRule="auto"/>
              <w:rPr>
                <w:rStyle w:val="CharStyle6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B6561" w:rsidRPr="001354D6" w:rsidRDefault="001A49F5" w:rsidP="001354D6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Позиция ЕЭК:</w:t>
            </w: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Вопросы совершенствования инфраструктуры и обустройства международного автомобильного пункта пропуска «Верхний Ларс» являются предметом двусторонних отношений и договоренностей Российской Федерации и Грузии, в связи с чем</w:t>
            </w:r>
            <w:r w:rsidR="00B727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ускорение его прохождения участниками внешнеэкономической деятельности не может быть осуществлено Российской Федерацией (которая ведет определенную работу по данному направлению) в одностороннем порядке без участия грузинской стороны</w:t>
            </w:r>
            <w:r w:rsidR="00CB6561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1A49F5" w:rsidRPr="001354D6" w:rsidRDefault="00CB6561" w:rsidP="001354D6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Вопрос будет передан в профильный департамент ЕЭК для принятия решения</w:t>
            </w:r>
            <w:r w:rsidR="00B727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в том числе по вопро</w:t>
            </w:r>
            <w:r w:rsid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 направления в Правительство Р</w:t>
            </w:r>
            <w:r w:rsidR="00B727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оссийской Федерации предложения о внесении изменений в Постановление Правительства №521 от 15.07.2010 года.</w:t>
            </w:r>
            <w:r w:rsidR="001A49F5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00161" w:rsidRPr="001354D6" w:rsidRDefault="00500161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9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Ашот Мкртчян,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«Степ-прогресс»,</w:t>
            </w:r>
          </w:p>
          <w:p w:rsidR="00666B75" w:rsidRPr="00C55B03" w:rsidRDefault="007E570D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666B75"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91 205 900,                                                                 </w:t>
            </w:r>
            <w:hyperlink r:id="rId30" w:history="1">
              <w:r w:rsidR="00A6033C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step-progress@mail.ru</w:t>
              </w:r>
            </w:hyperlink>
            <w:r w:rsidR="00A6033C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75" w:rsidRPr="001354D6" w:rsidRDefault="00666B75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в том, что при ввозе на территорию Российской Федерации своей продукции (сыр в порошке) ООО «Степ-прогресс» предоставляет таможенным Российской Федерации сертификат о происхождении товара формы СТ-1, выданный в соответствии с Правилами определения страны происхождения товаров, являющимися неотъемлемой частью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Соглашения о Правилах определения страны происхождения товаров в Содружестве Независимых Государств от 20 ноября 2009 года.</w:t>
            </w:r>
          </w:p>
          <w:p w:rsidR="00666B75" w:rsidRDefault="00666B75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рекомендовать юридическим лицам государств-членов Союза для целей подтверждения страны происхождения товаров из государства-члена Союза предъявлять таможенным органам РФ декларацию о происхождении товара либо сертификат о происхождении товара формы СТ-1, выданный в соответствии с Правилами, а таможенным органам применять указанные документы для определения страны происхождения товаров из государств-членов Союза.</w:t>
            </w:r>
          </w:p>
          <w:p w:rsidR="00B72704" w:rsidRPr="001354D6" w:rsidRDefault="00B72704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2704" w:rsidRDefault="00EC4091" w:rsidP="001354D6">
            <w:pPr>
              <w:spacing w:line="216" w:lineRule="auto"/>
              <w:ind w:firstLine="3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Позиция ЕЭК: </w:t>
            </w:r>
            <w:r w:rsidR="00B72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 всей видимости вопрос заключается в том, что при пересечении таможенных границ таможенные органы Российской Федерации осуществляют отбор проб и образцов продукции в ходе осуществления таможенного контроля.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завершения таможенной процедуры таможенного транзита перевозчик обязан представить таможенному органу транзитную декларацию, а также иные имеющиеся у него документы. При этом по требованию таможенного органа перевозчик обязан предъявить товары (статья 225 ТС ТК).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Кроме того, при проведении таможенного контроля таможенные органы вправе назначить проведение таможенной экспертизы в случаях, если для разъяснения возникающих вопросов при совершении таможенных операций требуются специальные познания (статья 138 Таможенного кодекса Таможенного союза).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 этом должностные лица таможенных органов отбирают пробы и образцы товаров для проведения таможенной экспертизы </w:t>
            </w:r>
            <w:r w:rsidRPr="001354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в порядке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установленном законодательством государств – членов Союза (</w:t>
            </w:r>
            <w:r w:rsidRPr="001354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Порядок отбора таможенными органами РФ проб (образцов) товаров для проведения таможенной экспертизы, а также порядок приостановления срока проведения таможенной экспертизы, утверждены приказом ФТС России от 20.11.2014 № 2264).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Данным нормативным актом не регламентированы вопросы периодичности и регулярности отбора проб и образцов.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Кроме того, необходимо также учитывать, что в соответствии со статьей 128 ТК ТС таможенные органы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применяют систему управления рисками для определения товаров,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транспортных средств международной перевозки, документов и лиц,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подлежащих таможенному контролю,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форм таможенного контроля, применяемых к таким товарам, транспортным средствам международной перевозки, документам и лицам, а также степени проведения таможенного контроля.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Стратегия и тактика применения системы управления рисками определяется законодательством государств – членов Союза.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Так, сыр, другие продукты могут подпадать под область риска в связи с их включением в «санкционный список». В этом случае система управления рисками 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автоматически будет относить ввозимые с территории РА указанные товары к товарам, подлежащим таможенному контролю</w:t>
            </w:r>
            <w:r w:rsidR="00CD00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рамках которого будет производиться соответствующий отбор проб и образцов.</w:t>
            </w:r>
          </w:p>
          <w:p w:rsidR="00EC4091" w:rsidRPr="001354D6" w:rsidRDefault="00EC4091" w:rsidP="001354D6">
            <w:pPr>
              <w:spacing w:line="216" w:lineRule="auto"/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Таким образом, вопрос об отборе проб и образцов, включая периодичность такого отбора, регулируются законодательством РФ и, следовательно, может быть урегулирован в рамках двусторонних переговоров между РА и РФ.</w:t>
            </w:r>
          </w:p>
          <w:p w:rsidR="00500161" w:rsidRPr="001354D6" w:rsidRDefault="00500161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75" w:rsidRPr="00146CF8" w:rsidTr="00FB315C">
        <w:trPr>
          <w:trHeight w:val="9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Ваагн Хоремян,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«Комфорт Р и В»,</w:t>
            </w:r>
          </w:p>
          <w:p w:rsidR="00666B75" w:rsidRPr="00D11427" w:rsidRDefault="00E244AF" w:rsidP="00D11427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(374) </w:t>
            </w:r>
            <w:r w:rsidR="00D1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1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27" w:rsidRPr="00D1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  <w:r w:rsidR="00D1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27" w:rsidRPr="00D1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498</w:t>
            </w: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666B75" w:rsidRPr="00C55B03" w:rsidRDefault="00B645B8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6033C" w:rsidRPr="00C55B0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manager@comfort-rv.am</w:t>
              </w:r>
            </w:hyperlink>
            <w:r w:rsidR="00A6033C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15C" w:rsidRPr="001354D6" w:rsidRDefault="001D7301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3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Новый вопрос:</w:t>
            </w:r>
            <w:r w:rsidRPr="005D3B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66B75" w:rsidRPr="001354D6" w:rsidRDefault="00666B75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Наша фирма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импортирует строительные материалы из разных стран и очень часто мы сталкиваемся со следующей проблемой: после того, как груз прибыл на территорию Армении, таможенный терминал, мы</w:t>
            </w:r>
            <w:r w:rsidR="00E97765" w:rsidRPr="00E97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E97765" w:rsidRPr="00E97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водим </w:t>
            </w:r>
            <w:r w:rsidR="00A822A5" w:rsidRP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предварительное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взвешивание груза, иногда после этого у нас бывают весовые расхождения, то есть, вес терминала с документальным весом, указанным в сопроводительных документах отправителя (Упаковочный Лист), не совпадает. </w:t>
            </w:r>
            <w:r w:rsidR="00826360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Ввозимые товары в больши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нстве своем, в Счет Фактурах или в Инвойсах, в качестве единицы измерения выражены в квадра</w:t>
            </w:r>
            <w:r w:rsidR="00826360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ных метрах, в погонных метрах, или в штуках и т.п., и вышеуказанное расхождение в весе не может влиять на сумму сделки, хотя к сожалению факт весового расхождения приводит к тому, что фирма-импортер считается не добросовестной. </w:t>
            </w:r>
          </w:p>
          <w:p w:rsidR="00666B75" w:rsidRPr="001354D6" w:rsidRDefault="00666B75" w:rsidP="001354D6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Хотелось отметить, что причинами расхождения в весе могут быть: как разница весов (весы страны отправителя и весы страны получателя), климатические условия, при которых производилась отгрузка товара, а также получе</w:t>
            </w:r>
            <w:r w:rsidR="00826360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товара после прибытия. На ве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совые расхождения особо влияют условия перевозки, а точнее перевозки морским транспортом, что создает повышенную влажность в контейнере, обусловленной длительным временем перевозки.          </w:t>
            </w:r>
          </w:p>
          <w:p w:rsidR="00666B75" w:rsidRPr="001354D6" w:rsidRDefault="00666B75" w:rsidP="001354D6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Просим особо уделить внимание на проблему импортирования плит из гранита, из мрамора, и т.д. Стоимость вышеперечисленных плит прямоугольной формы с полированной поверхностью и с толщиной стенки 1.5мм – 2.0мм за квадратный метр колеблется от 6 до 40 долларов США. ТН ВЭД код, который присуждается данным плитам 6802. Единица измерения этой подгруппы – килограммы. И если при импортировании плит по данному коду ТН ВЭД импортер имеет весовое расхождение по плитам, то считается, что им предоставленные документы не достоверны, что влечет за собой дополнительные сложности и проблемы. Заявленная стоимость данных плит при таможенном офор</w:t>
            </w:r>
            <w:r w:rsid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млении, является квадратный мет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 </w:t>
            </w:r>
          </w:p>
          <w:p w:rsidR="00500161" w:rsidRPr="001354D6" w:rsidRDefault="00666B75" w:rsidP="001354D6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 представляем вопрос касающийся слэбов, то есть каменных плит с гладкой полированной поверхностью, но с неровными краями (с толщиной стенки 2.0мм – 3.0мм). Отправитель выдает цену для слэба за квадратный метр. Но квадратный метр отправителем рас</w:t>
            </w:r>
            <w:r w:rsidR="00A822A5" w:rsidRP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читывается</w:t>
            </w:r>
            <w:r w:rsidR="00A822A5" w:rsidRP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учета шероховатых и неровных краев, так как в итоге эти  обрезки – не нужный материал. Но при таможенном оформлении и выпуске товара </w:t>
            </w: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бывают случаи, где из за шероховатых частей камня может получится другой результат по квадратный метр слэба, который может привести к неприятным последствиям. Просим Вас обратить внимание на этот факт, ведь цели нет у покупателя затаить лишний квадратный метр, это ненужный материал. </w:t>
            </w:r>
          </w:p>
          <w:p w:rsidR="00666B75" w:rsidRPr="001354D6" w:rsidRDefault="00666B75" w:rsidP="001354D6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Исходя из вышеизложенного просим пересмотреть единицы измерения в ТН ВЭД коде 6802, а также если есть идентичные примеры по другим кодам ТН ВЭД. </w:t>
            </w:r>
          </w:p>
          <w:p w:rsidR="00666B75" w:rsidRDefault="00500161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Обобщая вышеизложенное, если в мировой практике при</w:t>
            </w:r>
            <w:r w:rsid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таможенном оформлении груза су</w:t>
            </w:r>
            <w:r w:rsidR="00A822A5" w:rsidRP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ествуют</w:t>
            </w:r>
            <w:r w:rsidR="00A822A5" w:rsidRPr="00A82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B75"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допустимые нормы, отклонения от документального веса: либо в плюсовую, либо в минусовую стороны и это применительно в разумных пределах отклонения, просим рассмотреть наши предложения.</w:t>
            </w:r>
          </w:p>
          <w:p w:rsidR="00B54644" w:rsidRPr="001354D6" w:rsidRDefault="00B54644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6360" w:rsidRPr="001354D6" w:rsidRDefault="00B54644" w:rsidP="00B5464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Позиция ЕЭК: </w:t>
            </w:r>
            <w:r w:rsidR="00826360" w:rsidRPr="00135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Вопрос </w:t>
            </w:r>
            <w:r w:rsidR="00DB3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носит чисто технический характер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будет  рассмотрен в профильном </w:t>
            </w:r>
            <w:r w:rsidR="00005561" w:rsidRPr="00225349">
              <w:rPr>
                <w:rFonts w:ascii="Times New Roman" w:eastAsia="Calibri" w:hAnsi="Times New Roman" w:cs="Times New Roman"/>
                <w:b/>
                <w:bCs/>
                <w:sz w:val="28"/>
                <w:lang w:val="ru-RU"/>
              </w:rPr>
              <w:t>Департамент</w:t>
            </w:r>
            <w:r w:rsidR="00005561">
              <w:rPr>
                <w:rFonts w:ascii="Times New Roman" w:eastAsia="Calibri" w:hAnsi="Times New Roman" w:cs="Times New Roman"/>
                <w:b/>
                <w:bCs/>
                <w:sz w:val="28"/>
                <w:lang w:val="ru-RU"/>
              </w:rPr>
              <w:t>е</w:t>
            </w:r>
            <w:r w:rsidR="00005561" w:rsidRPr="00225349">
              <w:rPr>
                <w:rFonts w:ascii="Times New Roman" w:eastAsia="Calibri" w:hAnsi="Times New Roman" w:cs="Times New Roman"/>
                <w:b/>
                <w:bCs/>
                <w:sz w:val="28"/>
                <w:lang w:val="ru-RU"/>
              </w:rPr>
              <w:t xml:space="preserve"> таможенно-тарифного и нетарифного регулирования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департаменте ЕЭК после получения официальной позиции (обращения) Республики Армения с обоснованием предложения о внесении изменений в коды ТН ВЭД</w:t>
            </w:r>
            <w:r w:rsidR="00005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ЕАЭС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500161" w:rsidRPr="001354D6" w:rsidRDefault="00500161" w:rsidP="001354D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75" w:rsidRPr="00146CF8" w:rsidTr="00500161">
        <w:trPr>
          <w:trHeight w:val="6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Аарон Чилингарян,</w:t>
            </w:r>
          </w:p>
          <w:p w:rsidR="00FB315C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ЗАО «Парадигма Армения», 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>(374) 10 531 559</w:t>
            </w:r>
            <w:r w:rsidR="00A6033C" w:rsidRPr="00C55B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86B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>aha</w:t>
            </w:r>
            <w:r w:rsidR="00A6033C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ron.chilingaryan @paradigma.am, </w:t>
            </w: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>aharon.chilingaryan @gmail.com</w:t>
            </w:r>
            <w:r w:rsidR="00A6033C" w:rsidRPr="00C5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15C" w:rsidRPr="001354D6" w:rsidRDefault="00666B75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Новый вопрос:</w:t>
            </w: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B315C" w:rsidRPr="001354D6" w:rsidRDefault="001D7301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акие будут регуляции и налоговые последствия при следующей схеме продвижения документов и товаров:</w:t>
            </w:r>
          </w:p>
          <w:p w:rsidR="00FB315C" w:rsidRPr="001354D6" w:rsidRDefault="00FB315C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Договор на куплю-продажу заключается между предприятиями Индии и Армении. Документ выставляется армянскому покупателю</w:t>
            </w: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666B75" w:rsidRPr="001354D6" w:rsidRDefault="00FB315C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Товар же физически напрямую отправляется в Казахстан, по просьбе армянского покупателя. Это так, потому что армянский покупатель на самом деле является посредником и он покупает индийский товар для продажи в свою очередь казахстанскому предприятию.</w:t>
            </w:r>
          </w:p>
          <w:p w:rsidR="00FB315C" w:rsidRPr="001354D6" w:rsidRDefault="00666B75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Вопросы, в частности:</w:t>
            </w:r>
          </w:p>
          <w:p w:rsidR="00FB315C" w:rsidRPr="001354D6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Считается ли сделка экспортом из Армении? Реэкспортом?</w:t>
            </w:r>
          </w:p>
          <w:p w:rsidR="00FB315C" w:rsidRPr="001354D6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Какие налоги и другие обязательные платежи будут возникать, где?  </w:t>
            </w:r>
          </w:p>
          <w:p w:rsidR="00FB315C" w:rsidRPr="001354D6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Действует ли законодательство ЕАЭС в отношении данной сделки?</w:t>
            </w:r>
          </w:p>
          <w:p w:rsidR="00822372" w:rsidRPr="001354D6" w:rsidRDefault="00FB315C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Будет ли иметь значение наличие Соглашения о свободной торговле между:</w:t>
            </w:r>
          </w:p>
          <w:p w:rsidR="00822372" w:rsidRPr="001354D6" w:rsidRDefault="00822372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а)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Арменией и Индией</w:t>
            </w:r>
            <w:r w:rsidR="00FB315C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FB315C" w:rsidRPr="001354D6" w:rsidRDefault="00822372" w:rsidP="001354D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б)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Индией и Казахстаном</w:t>
            </w:r>
            <w:r w:rsidR="00FB315C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822372" w:rsidRPr="001354D6" w:rsidRDefault="00FB315C" w:rsidP="001354D6">
            <w:pPr>
              <w:pStyle w:val="ListParagraph"/>
              <w:numPr>
                <w:ilvl w:val="1"/>
                <w:numId w:val="15"/>
              </w:numPr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Какие регуляции тарифного и нетарифно</w:t>
            </w:r>
            <w:r w:rsidR="00A822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 регулирования будут действов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ать:</w:t>
            </w:r>
          </w:p>
          <w:p w:rsidR="00822372" w:rsidRPr="001354D6" w:rsidRDefault="00822372" w:rsidP="001354D6">
            <w:pPr>
              <w:pStyle w:val="ListParagraph"/>
              <w:numPr>
                <w:ilvl w:val="1"/>
                <w:numId w:val="15"/>
              </w:numPr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в)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ЕАЭС-овские</w:t>
            </w:r>
            <w:r w:rsidR="00FB315C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FB315C" w:rsidRPr="001354D6" w:rsidRDefault="00822372" w:rsidP="001354D6">
            <w:pPr>
              <w:pStyle w:val="ListParagraph"/>
              <w:numPr>
                <w:ilvl w:val="1"/>
                <w:numId w:val="15"/>
              </w:numPr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г)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Казахстанские (национального законодательства)</w:t>
            </w:r>
            <w:r w:rsidR="00FB315C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500161" w:rsidRPr="001354D6" w:rsidRDefault="00500161" w:rsidP="001354D6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B315C" w:rsidRPr="001354D6" w:rsidRDefault="00826360" w:rsidP="001354D6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Позиция ЕЭК:  Согласно пункту 13.2  Приложения №18  к Договору о ЕАЭС косвенные налоги уплачиваются налогоплательщиком государства-члена на 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территорию котор</w:t>
            </w:r>
            <w:r w:rsidR="00846EF1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 импортированы товары, то ес</w:t>
            </w:r>
            <w:r w:rsidR="00FB315C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ть в Вашем случае в Казахстане.</w:t>
            </w:r>
          </w:p>
          <w:p w:rsidR="00694985" w:rsidRDefault="00826360" w:rsidP="00694985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Однако необходимо иметь в </w:t>
            </w:r>
            <w:r w:rsidR="00846EF1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иду то, что при заключении сделки с третьей стороной товар оформляется на поку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пателя из Р</w:t>
            </w: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еспублики Армения и по документам как бы </w:t>
            </w:r>
            <w:r w:rsid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ввозится 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Казахстан и</w:t>
            </w:r>
            <w:r w:rsidR="00846EF1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Армении. В этом случае 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таможенное законодательство позволяет документально «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растам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ожить» товар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Республике Армения, уплачены таможенные </w:t>
            </w:r>
            <w:r w:rsidR="00846EF1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платежи и ввозной НДС и акцизы (</w:t>
            </w:r>
            <w:r w:rsidR="00244308"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если есть).</w:t>
            </w:r>
            <w:r w:rsidR="004C71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</w:t>
            </w:r>
            <w:r w:rsidR="004C71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этом 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случае  таможенная служба Армении </w:t>
            </w:r>
            <w:r w:rsidR="004C71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может 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</w:t>
            </w:r>
            <w:r w:rsidR="004C71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ить</w:t>
            </w:r>
            <w:r w:rsidR="006949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запрос в Республику Казахстан с просьбой о досмотре поступившего товара.</w:t>
            </w:r>
          </w:p>
          <w:p w:rsidR="00500161" w:rsidRDefault="00846EF1" w:rsidP="00694985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 есть формально товар приобретает статус товара Таможенного союза на территории Армении.</w:t>
            </w:r>
            <w:r w:rsidR="005905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5789A" w:rsidRDefault="005F4D24" w:rsidP="00694985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5F4D2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Справочно: </w:t>
            </w:r>
          </w:p>
          <w:p w:rsidR="0055789A" w:rsidRDefault="005F4D24" w:rsidP="00694985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1. В соответствии с главой 17</w:t>
            </w:r>
            <w:r w:rsidR="0055789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(ст. 123-126) Таможенного кодекса Таможенного союза и соглашения о взаимной административной помощи таможенных органов государств-членов Таможенного союза от 21 мая 2010 года.</w:t>
            </w:r>
          </w:p>
          <w:p w:rsidR="005F4D24" w:rsidRPr="005F4D24" w:rsidRDefault="0055789A" w:rsidP="00694985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По конкретной ситуации необходимо обратиться за получением консультаций в таможенный орган Республики Армения; </w:t>
            </w:r>
          </w:p>
          <w:p w:rsidR="00FA38AA" w:rsidRPr="00FA38AA" w:rsidRDefault="0055789A" w:rsidP="0055789A">
            <w:pPr>
              <w:pStyle w:val="ListParagraph"/>
              <w:spacing w:line="216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2. </w:t>
            </w:r>
            <w:r w:rsidR="00FA38A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Соглашения о зоне свободной торговли между Республикой Казахстан и Индия в настоящее время нет.</w:t>
            </w:r>
          </w:p>
        </w:tc>
      </w:tr>
      <w:tr w:rsidR="00666B75" w:rsidRPr="00146CF8" w:rsidTr="00FB315C">
        <w:trPr>
          <w:trHeight w:val="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1354D6" w:rsidRDefault="00FB315C" w:rsidP="001354D6">
            <w:pPr>
              <w:spacing w:line="216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Аарон Чилингарян,</w:t>
            </w:r>
          </w:p>
          <w:p w:rsidR="00FB315C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ЗАО «Парадигма Армения», 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>(374) 10 531 559</w:t>
            </w:r>
          </w:p>
          <w:p w:rsidR="00666B75" w:rsidRPr="00C55B03" w:rsidRDefault="00666B75" w:rsidP="001354D6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03">
              <w:rPr>
                <w:rFonts w:ascii="Times New Roman" w:hAnsi="Times New Roman" w:cs="Times New Roman"/>
                <w:sz w:val="28"/>
                <w:szCs w:val="28"/>
              </w:rPr>
              <w:t>aharon.chilingaryan @paradigma.am, aharon.chilingaryan @gmail.com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15C" w:rsidRPr="001354D6" w:rsidRDefault="00666B75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3B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Новый вопрос: </w:t>
            </w:r>
          </w:p>
          <w:p w:rsidR="00FB315C" w:rsidRPr="001354D6" w:rsidRDefault="00666B75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Недавно из ЕАЭ комиссии для замечаний была выслана таблица с изменениями в законодательстве ЕАЭС. Компанией Парадигма Армения, через СППА было предложено изменение в текстах пунктов 13.1. и 13.2. Приложения 18 Договора о ЕАЭС. Текст предложения: предлагается в пунктах 13.1. и 13.2. из текстов изымать словосочетание “если это предусмотрено законодательством государства-члена”. Такое изменение исключит отсылку к национальному законодательству, устанавливающему право уплаты косвенных налогов за комиссионером, поверенным или агентом, а не собственником товара. Подобное изменение было предложено на Заседании ЕАЭ комиссии 21-23 сентября 2016г. Согласно пункту 7.2. Протокола Заседания, Минфин РФ предлагает рассмотреть вопрос о взимании ввозного НДС через комиссионера, а не собственника при реализации товаров по договорам комиссии, и внесение соответствующих законодательных изменений в Приложение 18 Договора о ЕАЭС, исключающих отсылку к национальному законодательству, устанавливающему такое право.</w:t>
            </w:r>
          </w:p>
          <w:p w:rsidR="00FB315C" w:rsidRPr="001354D6" w:rsidRDefault="00666B75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связи с вышеизложенным возникает два вопроса:</w:t>
            </w:r>
          </w:p>
          <w:p w:rsidR="00FB315C" w:rsidRPr="001354D6" w:rsidRDefault="00FB315C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Принято ли и осуществлено ли предложенное Минфином РФ изменение? </w:t>
            </w:r>
          </w:p>
          <w:p w:rsidR="00FB315C" w:rsidRPr="001354D6" w:rsidRDefault="00FB315C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2. </w:t>
            </w:r>
            <w:r w:rsidR="00666B75" w:rsidRPr="001354D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считаете ли уместным осуществить подобное изменение в законодательстве относительно не только ввозного НДС, но и НДС от реализации?</w:t>
            </w:r>
          </w:p>
          <w:p w:rsidR="00564A1A" w:rsidRPr="00564A1A" w:rsidRDefault="00CD00C3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Позиция ЕЭК:</w:t>
            </w:r>
          </w:p>
          <w:p w:rsidR="00FB315C" w:rsidRPr="00CD00C3" w:rsidRDefault="00564A1A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="002803D8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B4A44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</w:t>
            </w:r>
            <w:r w:rsidR="002803D8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 Консультативном комитете по налоговой политике и администрированию 3 </w:t>
            </w:r>
            <w:r w:rsidR="002803D8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ноября</w:t>
            </w:r>
            <w:r w:rsid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2016 года</w:t>
            </w:r>
            <w:r w:rsidR="003F4E65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Минфин России в принципе согласился с предложение</w:t>
            </w:r>
            <w:r w:rsidR="00FB4A44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 </w:t>
            </w:r>
            <w:r w:rsidR="003F4E65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 вн</w:t>
            </w:r>
            <w:r w:rsidR="009C32BA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есении изменений в пункт 13.</w:t>
            </w:r>
            <w:r w:rsidR="00FB4A44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 Приложения №</w:t>
            </w:r>
            <w:r w:rsidR="009C32BA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 к Договору о ЕАЭС.</w:t>
            </w:r>
            <w:r w:rsidR="00FB4A44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B4A44" w:rsidRPr="00CD00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 этом российская Сторона отметила, что  внесение вышеуказанных изменений потребует внесение изменений в национальное законодательство Российской Федерации.</w:t>
            </w:r>
          </w:p>
          <w:p w:rsidR="00826360" w:rsidRPr="00CD00C3" w:rsidRDefault="00564A1A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2. </w:t>
            </w:r>
            <w:r w:rsidR="00FB4A44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Взимание НДС от реализации внутри государства-члена осуществляется в соответствии с национальным законодательством, то есть «сфера влияния»  положений Договора о ЕАЭС  не распространяется на налоговое администрирование внутренней торговли каждой из стран-членов ЕАЭС.</w:t>
            </w:r>
            <w:r w:rsidR="00826360" w:rsidRPr="00CD0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B54644" w:rsidRPr="00564A1A" w:rsidRDefault="00B54644" w:rsidP="001354D6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64A1A" w:rsidRPr="001354D6" w:rsidRDefault="00CD00C3" w:rsidP="00CD00C3">
            <w:pPr>
              <w:spacing w:line="216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Кроме того н</w:t>
            </w:r>
            <w:r w:rsidR="00564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еобходимо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получить </w:t>
            </w:r>
            <w:r w:rsidR="00564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более четкое определение позиции армянской Стороны по 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тому вопросу в свете принятого Н</w:t>
            </w:r>
            <w:r w:rsidR="00564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алогового кодекса Республики Армения.</w:t>
            </w:r>
          </w:p>
        </w:tc>
      </w:tr>
    </w:tbl>
    <w:p w:rsidR="001354D6" w:rsidRPr="001354D6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54D6" w:rsidRPr="00BA4101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1354D6" w:rsidRPr="001354D6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54D6" w:rsidRPr="001354D6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54D6" w:rsidRPr="001354D6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354D6" w:rsidRPr="001354D6" w:rsidRDefault="001354D6" w:rsidP="001354D6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1354D6" w:rsidRPr="001354D6" w:rsidSect="00BC6FCE">
      <w:headerReference w:type="default" r:id="rId32"/>
      <w:pgSz w:w="15840" w:h="12240" w:orient="landscape"/>
      <w:pgMar w:top="567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C6" w:rsidRDefault="00660AC6" w:rsidP="00AD3B34">
      <w:pPr>
        <w:spacing w:after="0" w:line="240" w:lineRule="auto"/>
      </w:pPr>
      <w:r>
        <w:separator/>
      </w:r>
    </w:p>
  </w:endnote>
  <w:endnote w:type="continuationSeparator" w:id="1">
    <w:p w:rsidR="00660AC6" w:rsidRDefault="00660AC6" w:rsidP="00AD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C6" w:rsidRDefault="00660AC6" w:rsidP="00AD3B34">
      <w:pPr>
        <w:spacing w:after="0" w:line="240" w:lineRule="auto"/>
      </w:pPr>
      <w:r>
        <w:separator/>
      </w:r>
    </w:p>
  </w:footnote>
  <w:footnote w:type="continuationSeparator" w:id="1">
    <w:p w:rsidR="00660AC6" w:rsidRDefault="00660AC6" w:rsidP="00AD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27" w:rsidRPr="00F343C3" w:rsidRDefault="00D11427" w:rsidP="00B44418">
    <w:pPr>
      <w:pStyle w:val="Header"/>
      <w:tabs>
        <w:tab w:val="center" w:pos="7353"/>
        <w:tab w:val="left" w:pos="8452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-93097255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B645B8" w:rsidRPr="00F34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4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645B8" w:rsidRPr="00F34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645B8" w:rsidRPr="00F343C3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29D"/>
    <w:multiLevelType w:val="multilevel"/>
    <w:tmpl w:val="9F9E0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82AE8"/>
    <w:multiLevelType w:val="hybridMultilevel"/>
    <w:tmpl w:val="61B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9E2"/>
    <w:multiLevelType w:val="hybridMultilevel"/>
    <w:tmpl w:val="FAB227F0"/>
    <w:lvl w:ilvl="0" w:tplc="FAA07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FA3FF6"/>
    <w:multiLevelType w:val="hybridMultilevel"/>
    <w:tmpl w:val="0A16561C"/>
    <w:lvl w:ilvl="0" w:tplc="3CB0BE4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51FA"/>
    <w:multiLevelType w:val="hybridMultilevel"/>
    <w:tmpl w:val="A38E2906"/>
    <w:lvl w:ilvl="0" w:tplc="5706E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82061C"/>
    <w:multiLevelType w:val="multilevel"/>
    <w:tmpl w:val="42705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A5CEA"/>
    <w:multiLevelType w:val="hybridMultilevel"/>
    <w:tmpl w:val="976EDD4E"/>
    <w:lvl w:ilvl="0" w:tplc="D4A6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F2801"/>
    <w:multiLevelType w:val="multilevel"/>
    <w:tmpl w:val="0D84E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60518"/>
    <w:multiLevelType w:val="hybridMultilevel"/>
    <w:tmpl w:val="390613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EB3756"/>
    <w:multiLevelType w:val="multilevel"/>
    <w:tmpl w:val="50902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015755"/>
    <w:multiLevelType w:val="hybridMultilevel"/>
    <w:tmpl w:val="3F1A5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CFF"/>
    <w:multiLevelType w:val="hybridMultilevel"/>
    <w:tmpl w:val="12FA5386"/>
    <w:lvl w:ilvl="0" w:tplc="0409000F">
      <w:start w:val="1"/>
      <w:numFmt w:val="decimal"/>
      <w:lvlText w:val="%1."/>
      <w:lvlJc w:val="left"/>
      <w:pPr>
        <w:ind w:left="2558" w:hanging="360"/>
      </w:pPr>
    </w:lvl>
    <w:lvl w:ilvl="1" w:tplc="04090019" w:tentative="1">
      <w:start w:val="1"/>
      <w:numFmt w:val="lowerLetter"/>
      <w:lvlText w:val="%2."/>
      <w:lvlJc w:val="left"/>
      <w:pPr>
        <w:ind w:left="3278" w:hanging="360"/>
      </w:pPr>
    </w:lvl>
    <w:lvl w:ilvl="2" w:tplc="0409001B" w:tentative="1">
      <w:start w:val="1"/>
      <w:numFmt w:val="lowerRoman"/>
      <w:lvlText w:val="%3."/>
      <w:lvlJc w:val="right"/>
      <w:pPr>
        <w:ind w:left="3998" w:hanging="180"/>
      </w:pPr>
    </w:lvl>
    <w:lvl w:ilvl="3" w:tplc="0409000F" w:tentative="1">
      <w:start w:val="1"/>
      <w:numFmt w:val="decimal"/>
      <w:lvlText w:val="%4."/>
      <w:lvlJc w:val="left"/>
      <w:pPr>
        <w:ind w:left="4718" w:hanging="360"/>
      </w:pPr>
    </w:lvl>
    <w:lvl w:ilvl="4" w:tplc="04090019" w:tentative="1">
      <w:start w:val="1"/>
      <w:numFmt w:val="lowerLetter"/>
      <w:lvlText w:val="%5."/>
      <w:lvlJc w:val="left"/>
      <w:pPr>
        <w:ind w:left="5438" w:hanging="360"/>
      </w:pPr>
    </w:lvl>
    <w:lvl w:ilvl="5" w:tplc="0409001B" w:tentative="1">
      <w:start w:val="1"/>
      <w:numFmt w:val="lowerRoman"/>
      <w:lvlText w:val="%6."/>
      <w:lvlJc w:val="right"/>
      <w:pPr>
        <w:ind w:left="6158" w:hanging="180"/>
      </w:pPr>
    </w:lvl>
    <w:lvl w:ilvl="6" w:tplc="0409000F" w:tentative="1">
      <w:start w:val="1"/>
      <w:numFmt w:val="decimal"/>
      <w:lvlText w:val="%7."/>
      <w:lvlJc w:val="left"/>
      <w:pPr>
        <w:ind w:left="6878" w:hanging="360"/>
      </w:pPr>
    </w:lvl>
    <w:lvl w:ilvl="7" w:tplc="04090019" w:tentative="1">
      <w:start w:val="1"/>
      <w:numFmt w:val="lowerLetter"/>
      <w:lvlText w:val="%8."/>
      <w:lvlJc w:val="left"/>
      <w:pPr>
        <w:ind w:left="7598" w:hanging="360"/>
      </w:pPr>
    </w:lvl>
    <w:lvl w:ilvl="8" w:tplc="040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2">
    <w:nsid w:val="53757EB4"/>
    <w:multiLevelType w:val="hybridMultilevel"/>
    <w:tmpl w:val="374C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E5945"/>
    <w:multiLevelType w:val="hybridMultilevel"/>
    <w:tmpl w:val="FBC2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13C5"/>
    <w:multiLevelType w:val="hybridMultilevel"/>
    <w:tmpl w:val="91F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902BC"/>
    <w:multiLevelType w:val="multilevel"/>
    <w:tmpl w:val="0D84E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86F2E"/>
    <w:multiLevelType w:val="hybridMultilevel"/>
    <w:tmpl w:val="9820696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9C7BC1"/>
    <w:multiLevelType w:val="hybridMultilevel"/>
    <w:tmpl w:val="79669A96"/>
    <w:lvl w:ilvl="0" w:tplc="0E288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A4A4C7E"/>
    <w:multiLevelType w:val="hybridMultilevel"/>
    <w:tmpl w:val="DF1C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744"/>
    <w:rsid w:val="0000329F"/>
    <w:rsid w:val="00005561"/>
    <w:rsid w:val="00010EB1"/>
    <w:rsid w:val="00024838"/>
    <w:rsid w:val="00030B03"/>
    <w:rsid w:val="00033057"/>
    <w:rsid w:val="0005184B"/>
    <w:rsid w:val="00053F8C"/>
    <w:rsid w:val="00066FBF"/>
    <w:rsid w:val="00070AE5"/>
    <w:rsid w:val="00074F5F"/>
    <w:rsid w:val="0009027E"/>
    <w:rsid w:val="00090E7A"/>
    <w:rsid w:val="00095246"/>
    <w:rsid w:val="00096443"/>
    <w:rsid w:val="000B0787"/>
    <w:rsid w:val="000C00E0"/>
    <w:rsid w:val="000C243C"/>
    <w:rsid w:val="000C6198"/>
    <w:rsid w:val="000D0B8F"/>
    <w:rsid w:val="000D2313"/>
    <w:rsid w:val="000E5534"/>
    <w:rsid w:val="000E6712"/>
    <w:rsid w:val="000F1C5D"/>
    <w:rsid w:val="000F281C"/>
    <w:rsid w:val="001032E0"/>
    <w:rsid w:val="00113449"/>
    <w:rsid w:val="00124203"/>
    <w:rsid w:val="00126502"/>
    <w:rsid w:val="00130B31"/>
    <w:rsid w:val="001354D6"/>
    <w:rsid w:val="00144C0D"/>
    <w:rsid w:val="00146CF8"/>
    <w:rsid w:val="00173394"/>
    <w:rsid w:val="00173721"/>
    <w:rsid w:val="001779D7"/>
    <w:rsid w:val="001810AE"/>
    <w:rsid w:val="00185DF4"/>
    <w:rsid w:val="00190596"/>
    <w:rsid w:val="00190ADB"/>
    <w:rsid w:val="001A49F5"/>
    <w:rsid w:val="001B1C16"/>
    <w:rsid w:val="001B49B9"/>
    <w:rsid w:val="001B55FB"/>
    <w:rsid w:val="001B6F19"/>
    <w:rsid w:val="001C0E4D"/>
    <w:rsid w:val="001C6002"/>
    <w:rsid w:val="001D0369"/>
    <w:rsid w:val="001D1342"/>
    <w:rsid w:val="001D35F8"/>
    <w:rsid w:val="001D3E22"/>
    <w:rsid w:val="001D7301"/>
    <w:rsid w:val="001F19C0"/>
    <w:rsid w:val="001F71FD"/>
    <w:rsid w:val="00202DD7"/>
    <w:rsid w:val="0021715D"/>
    <w:rsid w:val="002208D9"/>
    <w:rsid w:val="00225349"/>
    <w:rsid w:val="00231384"/>
    <w:rsid w:val="002368CE"/>
    <w:rsid w:val="00241232"/>
    <w:rsid w:val="00244308"/>
    <w:rsid w:val="00244B6D"/>
    <w:rsid w:val="002460A5"/>
    <w:rsid w:val="00257DAC"/>
    <w:rsid w:val="002605D2"/>
    <w:rsid w:val="0027564F"/>
    <w:rsid w:val="002803D8"/>
    <w:rsid w:val="002A129D"/>
    <w:rsid w:val="002A4602"/>
    <w:rsid w:val="002A58BB"/>
    <w:rsid w:val="002B74E2"/>
    <w:rsid w:val="002C2D79"/>
    <w:rsid w:val="002D149F"/>
    <w:rsid w:val="002D639B"/>
    <w:rsid w:val="002E46BC"/>
    <w:rsid w:val="002E490B"/>
    <w:rsid w:val="002F4BD2"/>
    <w:rsid w:val="002F6A79"/>
    <w:rsid w:val="00311A43"/>
    <w:rsid w:val="003143E9"/>
    <w:rsid w:val="003245C5"/>
    <w:rsid w:val="003362DC"/>
    <w:rsid w:val="00341634"/>
    <w:rsid w:val="00343666"/>
    <w:rsid w:val="0034529D"/>
    <w:rsid w:val="003545F6"/>
    <w:rsid w:val="00355A02"/>
    <w:rsid w:val="00361D1B"/>
    <w:rsid w:val="00363421"/>
    <w:rsid w:val="003667A7"/>
    <w:rsid w:val="00374964"/>
    <w:rsid w:val="00386670"/>
    <w:rsid w:val="00387BE1"/>
    <w:rsid w:val="00392687"/>
    <w:rsid w:val="0039590C"/>
    <w:rsid w:val="003A2705"/>
    <w:rsid w:val="003A5533"/>
    <w:rsid w:val="003A7669"/>
    <w:rsid w:val="003B064B"/>
    <w:rsid w:val="003B711C"/>
    <w:rsid w:val="003C0744"/>
    <w:rsid w:val="003C46B7"/>
    <w:rsid w:val="003C50E7"/>
    <w:rsid w:val="003D3695"/>
    <w:rsid w:val="003D46C1"/>
    <w:rsid w:val="003D62F6"/>
    <w:rsid w:val="003D699F"/>
    <w:rsid w:val="003E18F2"/>
    <w:rsid w:val="003E35DD"/>
    <w:rsid w:val="003E6419"/>
    <w:rsid w:val="003F405D"/>
    <w:rsid w:val="003F4E65"/>
    <w:rsid w:val="00402DD8"/>
    <w:rsid w:val="00405996"/>
    <w:rsid w:val="004154D2"/>
    <w:rsid w:val="00415A07"/>
    <w:rsid w:val="00417192"/>
    <w:rsid w:val="00434FB6"/>
    <w:rsid w:val="0043576A"/>
    <w:rsid w:val="0043611C"/>
    <w:rsid w:val="004362A3"/>
    <w:rsid w:val="00442F90"/>
    <w:rsid w:val="00445CB2"/>
    <w:rsid w:val="00453E80"/>
    <w:rsid w:val="004620A7"/>
    <w:rsid w:val="00470DD9"/>
    <w:rsid w:val="00473761"/>
    <w:rsid w:val="00474014"/>
    <w:rsid w:val="004746A1"/>
    <w:rsid w:val="004751BF"/>
    <w:rsid w:val="00475994"/>
    <w:rsid w:val="0048104A"/>
    <w:rsid w:val="00490EF7"/>
    <w:rsid w:val="00497CDD"/>
    <w:rsid w:val="004A001A"/>
    <w:rsid w:val="004A64F1"/>
    <w:rsid w:val="004B2F0B"/>
    <w:rsid w:val="004C71CF"/>
    <w:rsid w:val="004C779E"/>
    <w:rsid w:val="004F41C6"/>
    <w:rsid w:val="004F4272"/>
    <w:rsid w:val="004F5B2D"/>
    <w:rsid w:val="004F6F4D"/>
    <w:rsid w:val="004F73F8"/>
    <w:rsid w:val="00500161"/>
    <w:rsid w:val="0050287B"/>
    <w:rsid w:val="00504855"/>
    <w:rsid w:val="00504A85"/>
    <w:rsid w:val="0050516A"/>
    <w:rsid w:val="005107D1"/>
    <w:rsid w:val="00516C3F"/>
    <w:rsid w:val="00523ACA"/>
    <w:rsid w:val="0052728C"/>
    <w:rsid w:val="005321D1"/>
    <w:rsid w:val="0053678F"/>
    <w:rsid w:val="005553C8"/>
    <w:rsid w:val="0055789A"/>
    <w:rsid w:val="00557FD5"/>
    <w:rsid w:val="00564A1A"/>
    <w:rsid w:val="00574225"/>
    <w:rsid w:val="00576E31"/>
    <w:rsid w:val="00586A61"/>
    <w:rsid w:val="00590518"/>
    <w:rsid w:val="005A1BCB"/>
    <w:rsid w:val="005B3A53"/>
    <w:rsid w:val="005B47F6"/>
    <w:rsid w:val="005C65D6"/>
    <w:rsid w:val="005D2625"/>
    <w:rsid w:val="005D3B19"/>
    <w:rsid w:val="005D3C09"/>
    <w:rsid w:val="005E0A04"/>
    <w:rsid w:val="005F4D24"/>
    <w:rsid w:val="006003D3"/>
    <w:rsid w:val="00601173"/>
    <w:rsid w:val="0061175C"/>
    <w:rsid w:val="00612A1E"/>
    <w:rsid w:val="00612C75"/>
    <w:rsid w:val="0061425A"/>
    <w:rsid w:val="0061614A"/>
    <w:rsid w:val="00627927"/>
    <w:rsid w:val="00627A3E"/>
    <w:rsid w:val="00631A34"/>
    <w:rsid w:val="00633117"/>
    <w:rsid w:val="00633977"/>
    <w:rsid w:val="006425D5"/>
    <w:rsid w:val="006437D2"/>
    <w:rsid w:val="00647206"/>
    <w:rsid w:val="006544EA"/>
    <w:rsid w:val="006548ED"/>
    <w:rsid w:val="00655D52"/>
    <w:rsid w:val="0065787A"/>
    <w:rsid w:val="00660AC6"/>
    <w:rsid w:val="00666B75"/>
    <w:rsid w:val="00667BC8"/>
    <w:rsid w:val="00667F4A"/>
    <w:rsid w:val="00670EFD"/>
    <w:rsid w:val="0067580D"/>
    <w:rsid w:val="0068734F"/>
    <w:rsid w:val="00693590"/>
    <w:rsid w:val="006944C5"/>
    <w:rsid w:val="00694985"/>
    <w:rsid w:val="006A3AD7"/>
    <w:rsid w:val="006A42B1"/>
    <w:rsid w:val="006B0DC9"/>
    <w:rsid w:val="006B39D5"/>
    <w:rsid w:val="006B4413"/>
    <w:rsid w:val="006C49A1"/>
    <w:rsid w:val="006C5A73"/>
    <w:rsid w:val="006D03AB"/>
    <w:rsid w:val="006D2D00"/>
    <w:rsid w:val="007040BE"/>
    <w:rsid w:val="00711F76"/>
    <w:rsid w:val="0071365E"/>
    <w:rsid w:val="0071551E"/>
    <w:rsid w:val="00721B92"/>
    <w:rsid w:val="00733C57"/>
    <w:rsid w:val="00735737"/>
    <w:rsid w:val="007426C8"/>
    <w:rsid w:val="0075618D"/>
    <w:rsid w:val="00756B28"/>
    <w:rsid w:val="00760324"/>
    <w:rsid w:val="00765936"/>
    <w:rsid w:val="00767A7F"/>
    <w:rsid w:val="00776984"/>
    <w:rsid w:val="007770F6"/>
    <w:rsid w:val="0078086B"/>
    <w:rsid w:val="007922BB"/>
    <w:rsid w:val="00793F76"/>
    <w:rsid w:val="007940D7"/>
    <w:rsid w:val="007972F9"/>
    <w:rsid w:val="007A0244"/>
    <w:rsid w:val="007A31DF"/>
    <w:rsid w:val="007B2F4E"/>
    <w:rsid w:val="007C78C0"/>
    <w:rsid w:val="007D7DDF"/>
    <w:rsid w:val="007E570D"/>
    <w:rsid w:val="007E612E"/>
    <w:rsid w:val="007F3D53"/>
    <w:rsid w:val="007F47BC"/>
    <w:rsid w:val="007F639A"/>
    <w:rsid w:val="008002F5"/>
    <w:rsid w:val="008100F1"/>
    <w:rsid w:val="00810DCF"/>
    <w:rsid w:val="008134E5"/>
    <w:rsid w:val="00821FE2"/>
    <w:rsid w:val="00822372"/>
    <w:rsid w:val="00826360"/>
    <w:rsid w:val="0082697F"/>
    <w:rsid w:val="0082728B"/>
    <w:rsid w:val="008467DE"/>
    <w:rsid w:val="00846EF1"/>
    <w:rsid w:val="00853B9E"/>
    <w:rsid w:val="00854127"/>
    <w:rsid w:val="00855FC7"/>
    <w:rsid w:val="008603FC"/>
    <w:rsid w:val="00864FA2"/>
    <w:rsid w:val="00870762"/>
    <w:rsid w:val="008730FE"/>
    <w:rsid w:val="00881D8E"/>
    <w:rsid w:val="00882765"/>
    <w:rsid w:val="0088664F"/>
    <w:rsid w:val="00897E10"/>
    <w:rsid w:val="008A03B4"/>
    <w:rsid w:val="008A5376"/>
    <w:rsid w:val="008C182E"/>
    <w:rsid w:val="008D048A"/>
    <w:rsid w:val="008E0ADC"/>
    <w:rsid w:val="008F2EDA"/>
    <w:rsid w:val="008F5D4B"/>
    <w:rsid w:val="00901008"/>
    <w:rsid w:val="0091592A"/>
    <w:rsid w:val="00915E6A"/>
    <w:rsid w:val="00921D9A"/>
    <w:rsid w:val="0092249F"/>
    <w:rsid w:val="00932181"/>
    <w:rsid w:val="00932C24"/>
    <w:rsid w:val="0093571C"/>
    <w:rsid w:val="0093666B"/>
    <w:rsid w:val="00945023"/>
    <w:rsid w:val="009535FA"/>
    <w:rsid w:val="009633A3"/>
    <w:rsid w:val="00963D78"/>
    <w:rsid w:val="00967D5F"/>
    <w:rsid w:val="00972A99"/>
    <w:rsid w:val="00982DEB"/>
    <w:rsid w:val="009963CC"/>
    <w:rsid w:val="00996735"/>
    <w:rsid w:val="009A6DBA"/>
    <w:rsid w:val="009A7E06"/>
    <w:rsid w:val="009B3C3E"/>
    <w:rsid w:val="009B6109"/>
    <w:rsid w:val="009B64DB"/>
    <w:rsid w:val="009C00BA"/>
    <w:rsid w:val="009C32BA"/>
    <w:rsid w:val="009C44F5"/>
    <w:rsid w:val="009D3CCA"/>
    <w:rsid w:val="009E2B79"/>
    <w:rsid w:val="009E7088"/>
    <w:rsid w:val="009F19C3"/>
    <w:rsid w:val="00A170F0"/>
    <w:rsid w:val="00A2766A"/>
    <w:rsid w:val="00A357A3"/>
    <w:rsid w:val="00A46806"/>
    <w:rsid w:val="00A51189"/>
    <w:rsid w:val="00A52F5A"/>
    <w:rsid w:val="00A6033C"/>
    <w:rsid w:val="00A64A1B"/>
    <w:rsid w:val="00A65212"/>
    <w:rsid w:val="00A716ED"/>
    <w:rsid w:val="00A72579"/>
    <w:rsid w:val="00A822A5"/>
    <w:rsid w:val="00A83474"/>
    <w:rsid w:val="00A90882"/>
    <w:rsid w:val="00A93334"/>
    <w:rsid w:val="00AA3CA7"/>
    <w:rsid w:val="00AB179E"/>
    <w:rsid w:val="00AB7F47"/>
    <w:rsid w:val="00AC7934"/>
    <w:rsid w:val="00AD3B34"/>
    <w:rsid w:val="00AE0864"/>
    <w:rsid w:val="00AE4D5A"/>
    <w:rsid w:val="00B02504"/>
    <w:rsid w:val="00B061B9"/>
    <w:rsid w:val="00B11AEC"/>
    <w:rsid w:val="00B1220F"/>
    <w:rsid w:val="00B14AAE"/>
    <w:rsid w:val="00B14CC2"/>
    <w:rsid w:val="00B25651"/>
    <w:rsid w:val="00B25B7E"/>
    <w:rsid w:val="00B364DB"/>
    <w:rsid w:val="00B3747F"/>
    <w:rsid w:val="00B44418"/>
    <w:rsid w:val="00B459CB"/>
    <w:rsid w:val="00B4645E"/>
    <w:rsid w:val="00B54644"/>
    <w:rsid w:val="00B54E91"/>
    <w:rsid w:val="00B56C65"/>
    <w:rsid w:val="00B645B8"/>
    <w:rsid w:val="00B72704"/>
    <w:rsid w:val="00B75D78"/>
    <w:rsid w:val="00B77007"/>
    <w:rsid w:val="00B86AC0"/>
    <w:rsid w:val="00B87E80"/>
    <w:rsid w:val="00B948CB"/>
    <w:rsid w:val="00B9685C"/>
    <w:rsid w:val="00BA1D9F"/>
    <w:rsid w:val="00BA4101"/>
    <w:rsid w:val="00BC0587"/>
    <w:rsid w:val="00BC6FCE"/>
    <w:rsid w:val="00BD2C25"/>
    <w:rsid w:val="00BD3AD3"/>
    <w:rsid w:val="00BE70EB"/>
    <w:rsid w:val="00BF585D"/>
    <w:rsid w:val="00C03E9E"/>
    <w:rsid w:val="00C337A0"/>
    <w:rsid w:val="00C420A6"/>
    <w:rsid w:val="00C44928"/>
    <w:rsid w:val="00C539C1"/>
    <w:rsid w:val="00C5457D"/>
    <w:rsid w:val="00C55137"/>
    <w:rsid w:val="00C55B03"/>
    <w:rsid w:val="00C652CE"/>
    <w:rsid w:val="00C765D3"/>
    <w:rsid w:val="00C84D17"/>
    <w:rsid w:val="00C87F05"/>
    <w:rsid w:val="00C928FA"/>
    <w:rsid w:val="00C954D8"/>
    <w:rsid w:val="00CB6561"/>
    <w:rsid w:val="00CD00C3"/>
    <w:rsid w:val="00CD7276"/>
    <w:rsid w:val="00CF2F77"/>
    <w:rsid w:val="00CF37C0"/>
    <w:rsid w:val="00D0402D"/>
    <w:rsid w:val="00D11427"/>
    <w:rsid w:val="00D12308"/>
    <w:rsid w:val="00D24433"/>
    <w:rsid w:val="00D244DF"/>
    <w:rsid w:val="00D3508F"/>
    <w:rsid w:val="00D35D1E"/>
    <w:rsid w:val="00D56D0B"/>
    <w:rsid w:val="00D607AD"/>
    <w:rsid w:val="00D84D24"/>
    <w:rsid w:val="00D874E2"/>
    <w:rsid w:val="00D95CE4"/>
    <w:rsid w:val="00DB1BBB"/>
    <w:rsid w:val="00DB3D40"/>
    <w:rsid w:val="00DB6159"/>
    <w:rsid w:val="00DC21E9"/>
    <w:rsid w:val="00DC3CF8"/>
    <w:rsid w:val="00DC5781"/>
    <w:rsid w:val="00DD0677"/>
    <w:rsid w:val="00DD0F15"/>
    <w:rsid w:val="00DD46F4"/>
    <w:rsid w:val="00DE626E"/>
    <w:rsid w:val="00DF3F87"/>
    <w:rsid w:val="00DF67A0"/>
    <w:rsid w:val="00E0091F"/>
    <w:rsid w:val="00E016D5"/>
    <w:rsid w:val="00E06CB2"/>
    <w:rsid w:val="00E11045"/>
    <w:rsid w:val="00E162FA"/>
    <w:rsid w:val="00E22151"/>
    <w:rsid w:val="00E244AF"/>
    <w:rsid w:val="00E2516B"/>
    <w:rsid w:val="00E2681C"/>
    <w:rsid w:val="00E32539"/>
    <w:rsid w:val="00E840BE"/>
    <w:rsid w:val="00E84FE7"/>
    <w:rsid w:val="00E90422"/>
    <w:rsid w:val="00E92A7F"/>
    <w:rsid w:val="00E93363"/>
    <w:rsid w:val="00E95A25"/>
    <w:rsid w:val="00E97765"/>
    <w:rsid w:val="00EC0D2D"/>
    <w:rsid w:val="00EC4091"/>
    <w:rsid w:val="00EC43D3"/>
    <w:rsid w:val="00EE4C7B"/>
    <w:rsid w:val="00EE6D58"/>
    <w:rsid w:val="00EF16DB"/>
    <w:rsid w:val="00EF3549"/>
    <w:rsid w:val="00F07312"/>
    <w:rsid w:val="00F21223"/>
    <w:rsid w:val="00F25CC5"/>
    <w:rsid w:val="00F3413E"/>
    <w:rsid w:val="00F343C3"/>
    <w:rsid w:val="00F411F0"/>
    <w:rsid w:val="00F42DAB"/>
    <w:rsid w:val="00F45D24"/>
    <w:rsid w:val="00F472C0"/>
    <w:rsid w:val="00F53D39"/>
    <w:rsid w:val="00F6740F"/>
    <w:rsid w:val="00F75A4B"/>
    <w:rsid w:val="00F9236B"/>
    <w:rsid w:val="00F93542"/>
    <w:rsid w:val="00F95D49"/>
    <w:rsid w:val="00F968F3"/>
    <w:rsid w:val="00FA38AA"/>
    <w:rsid w:val="00FB1322"/>
    <w:rsid w:val="00FB315C"/>
    <w:rsid w:val="00FB4A44"/>
    <w:rsid w:val="00FC67ED"/>
    <w:rsid w:val="00FD47AC"/>
    <w:rsid w:val="00FD6674"/>
    <w:rsid w:val="00FE26FF"/>
    <w:rsid w:val="00FE46D3"/>
    <w:rsid w:val="00FF1C3F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F1"/>
    <w:rPr>
      <w:rFonts w:ascii="Tahoma" w:hAnsi="Tahoma" w:cs="Tahoma"/>
      <w:sz w:val="16"/>
      <w:szCs w:val="16"/>
    </w:rPr>
  </w:style>
  <w:style w:type="paragraph" w:customStyle="1" w:styleId="j12">
    <w:name w:val="j12"/>
    <w:basedOn w:val="Normal"/>
    <w:rsid w:val="00B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61B9"/>
  </w:style>
  <w:style w:type="character" w:styleId="Hyperlink">
    <w:name w:val="Hyperlink"/>
    <w:unhideWhenUsed/>
    <w:rsid w:val="00B061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34"/>
  </w:style>
  <w:style w:type="paragraph" w:styleId="Footer">
    <w:name w:val="footer"/>
    <w:basedOn w:val="Normal"/>
    <w:link w:val="FooterChar"/>
    <w:uiPriority w:val="99"/>
    <w:unhideWhenUsed/>
    <w:rsid w:val="00AD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34"/>
  </w:style>
  <w:style w:type="paragraph" w:styleId="NoSpacing">
    <w:name w:val="No Spacing"/>
    <w:link w:val="NoSpacingChar"/>
    <w:uiPriority w:val="1"/>
    <w:qFormat/>
    <w:rsid w:val="00AD3B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3B34"/>
  </w:style>
  <w:style w:type="character" w:customStyle="1" w:styleId="CharStyle29">
    <w:name w:val="Char Style 29"/>
    <w:basedOn w:val="DefaultParagraphFont"/>
    <w:link w:val="Style28"/>
    <w:rsid w:val="00CF2F77"/>
    <w:rPr>
      <w:spacing w:val="10"/>
      <w:sz w:val="19"/>
      <w:szCs w:val="19"/>
      <w:shd w:val="clear" w:color="auto" w:fill="FFFFFF"/>
    </w:rPr>
  </w:style>
  <w:style w:type="paragraph" w:customStyle="1" w:styleId="Style28">
    <w:name w:val="Style 28"/>
    <w:basedOn w:val="Normal"/>
    <w:link w:val="CharStyle29"/>
    <w:rsid w:val="00CF2F77"/>
    <w:pPr>
      <w:widowControl w:val="0"/>
      <w:shd w:val="clear" w:color="auto" w:fill="FFFFFF"/>
      <w:spacing w:before="540" w:after="180" w:line="0" w:lineRule="atLeast"/>
    </w:pPr>
    <w:rPr>
      <w:spacing w:val="10"/>
      <w:sz w:val="19"/>
      <w:szCs w:val="19"/>
    </w:rPr>
  </w:style>
  <w:style w:type="paragraph" w:customStyle="1" w:styleId="ConsPlusTitle">
    <w:name w:val="ConsPlusTitle"/>
    <w:rsid w:val="00555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harStyle6">
    <w:name w:val="Char Style 6"/>
    <w:basedOn w:val="DefaultParagraphFont"/>
    <w:link w:val="Style5"/>
    <w:rsid w:val="00810DCF"/>
    <w:rPr>
      <w:sz w:val="23"/>
      <w:szCs w:val="23"/>
      <w:shd w:val="clear" w:color="auto" w:fill="FFFFFF"/>
    </w:rPr>
  </w:style>
  <w:style w:type="paragraph" w:customStyle="1" w:styleId="Style5">
    <w:name w:val="Style 5"/>
    <w:basedOn w:val="Normal"/>
    <w:link w:val="CharStyle6"/>
    <w:rsid w:val="00810DCF"/>
    <w:pPr>
      <w:widowControl w:val="0"/>
      <w:shd w:val="clear" w:color="auto" w:fill="FFFFFF"/>
      <w:spacing w:before="1080" w:after="0" w:line="322" w:lineRule="exact"/>
      <w:ind w:hanging="360"/>
    </w:pPr>
    <w:rPr>
      <w:sz w:val="23"/>
      <w:szCs w:val="23"/>
    </w:rPr>
  </w:style>
  <w:style w:type="paragraph" w:styleId="BodyText2">
    <w:name w:val="Body Text 2"/>
    <w:basedOn w:val="Normal"/>
    <w:link w:val="BodyText2Char"/>
    <w:rsid w:val="00FB4A4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FB4A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63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CharStyle12">
    <w:name w:val="Char Style 12"/>
    <w:basedOn w:val="DefaultParagraphFont"/>
    <w:link w:val="Style11"/>
    <w:rsid w:val="00633117"/>
    <w:rPr>
      <w:sz w:val="27"/>
      <w:szCs w:val="27"/>
      <w:shd w:val="clear" w:color="auto" w:fill="FFFFFF"/>
    </w:rPr>
  </w:style>
  <w:style w:type="paragraph" w:customStyle="1" w:styleId="Style11">
    <w:name w:val="Style 11"/>
    <w:basedOn w:val="Normal"/>
    <w:link w:val="CharStyle12"/>
    <w:rsid w:val="00633117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3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F1"/>
    <w:rPr>
      <w:rFonts w:ascii="Tahoma" w:hAnsi="Tahoma" w:cs="Tahoma"/>
      <w:sz w:val="16"/>
      <w:szCs w:val="16"/>
    </w:rPr>
  </w:style>
  <w:style w:type="paragraph" w:customStyle="1" w:styleId="j12">
    <w:name w:val="j12"/>
    <w:basedOn w:val="a"/>
    <w:rsid w:val="00B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61B9"/>
  </w:style>
  <w:style w:type="character" w:styleId="a8">
    <w:name w:val="Hyperlink"/>
    <w:unhideWhenUsed/>
    <w:rsid w:val="00B061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B34"/>
  </w:style>
  <w:style w:type="paragraph" w:styleId="ab">
    <w:name w:val="footer"/>
    <w:basedOn w:val="a"/>
    <w:link w:val="ac"/>
    <w:uiPriority w:val="99"/>
    <w:unhideWhenUsed/>
    <w:rsid w:val="00AD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B34"/>
  </w:style>
  <w:style w:type="paragraph" w:styleId="ad">
    <w:name w:val="No Spacing"/>
    <w:link w:val="ae"/>
    <w:uiPriority w:val="1"/>
    <w:qFormat/>
    <w:rsid w:val="00AD3B3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D3B34"/>
  </w:style>
  <w:style w:type="character" w:customStyle="1" w:styleId="CharStyle29">
    <w:name w:val="Char Style 29"/>
    <w:basedOn w:val="a0"/>
    <w:link w:val="Style28"/>
    <w:rsid w:val="00CF2F77"/>
    <w:rPr>
      <w:spacing w:val="10"/>
      <w:sz w:val="19"/>
      <w:szCs w:val="19"/>
      <w:shd w:val="clear" w:color="auto" w:fill="FFFFFF"/>
    </w:rPr>
  </w:style>
  <w:style w:type="paragraph" w:customStyle="1" w:styleId="Style28">
    <w:name w:val="Style 28"/>
    <w:basedOn w:val="a"/>
    <w:link w:val="CharStyle29"/>
    <w:rsid w:val="00CF2F77"/>
    <w:pPr>
      <w:widowControl w:val="0"/>
      <w:shd w:val="clear" w:color="auto" w:fill="FFFFFF"/>
      <w:spacing w:before="540" w:after="180" w:line="0" w:lineRule="atLeast"/>
    </w:pPr>
    <w:rPr>
      <w:spacing w:val="10"/>
      <w:sz w:val="19"/>
      <w:szCs w:val="19"/>
    </w:rPr>
  </w:style>
  <w:style w:type="paragraph" w:customStyle="1" w:styleId="ConsPlusTitle">
    <w:name w:val="ConsPlusTitle"/>
    <w:rsid w:val="00555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harStyle6">
    <w:name w:val="Char Style 6"/>
    <w:basedOn w:val="a0"/>
    <w:link w:val="Style5"/>
    <w:rsid w:val="00810DCF"/>
    <w:rPr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rsid w:val="00810DCF"/>
    <w:pPr>
      <w:widowControl w:val="0"/>
      <w:shd w:val="clear" w:color="auto" w:fill="FFFFFF"/>
      <w:spacing w:before="1080" w:after="0" w:line="322" w:lineRule="exact"/>
      <w:ind w:hanging="360"/>
    </w:pPr>
    <w:rPr>
      <w:sz w:val="23"/>
      <w:szCs w:val="23"/>
    </w:rPr>
  </w:style>
  <w:style w:type="paragraph" w:styleId="2">
    <w:name w:val="Body Text 2"/>
    <w:basedOn w:val="a"/>
    <w:link w:val="20"/>
    <w:rsid w:val="00FB4A4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B4A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63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CharStyle12">
    <w:name w:val="Char Style 12"/>
    <w:basedOn w:val="a0"/>
    <w:link w:val="Style11"/>
    <w:rsid w:val="00633117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633117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797">
          <w:marLeft w:val="951"/>
          <w:marRight w:val="0"/>
          <w:marTop w:val="10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ersesvan@apaven.com" TargetMode="External"/><Relationship Id="rId13" Type="http://schemas.openxmlformats.org/officeDocument/2006/relationships/hyperlink" Target="mailto:info@ar-ar.am" TargetMode="External"/><Relationship Id="rId18" Type="http://schemas.openxmlformats.org/officeDocument/2006/relationships/hyperlink" Target="mailto:umba@arminco.com" TargetMode="External"/><Relationship Id="rId26" Type="http://schemas.openxmlformats.org/officeDocument/2006/relationships/hyperlink" Target="consultantplus://offline/ref=5391E4551306268E3066D41CAA663A554B41A9C448956F7E08BEEDF29B29C9BA24CFE1A834D1A35Db1d1K" TargetMode="External"/><Relationship Id="rId3" Type="http://schemas.openxmlformats.org/officeDocument/2006/relationships/styles" Target="styles.xml"/><Relationship Id="rId21" Type="http://schemas.openxmlformats.org/officeDocument/2006/relationships/hyperlink" Target="mailto:umba@umba.a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yakhshibekyan@prime-insurance.com" TargetMode="External"/><Relationship Id="rId17" Type="http://schemas.openxmlformats.org/officeDocument/2006/relationships/hyperlink" Target="mailto:umba@umba.am" TargetMode="External"/><Relationship Id="rId25" Type="http://schemas.openxmlformats.org/officeDocument/2006/relationships/hyperlink" Target="mailto:umba@umba.a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mba@arminco.com" TargetMode="External"/><Relationship Id="rId20" Type="http://schemas.openxmlformats.org/officeDocument/2006/relationships/hyperlink" Target="mailto:umba@arminco.com" TargetMode="External"/><Relationship Id="rId29" Type="http://schemas.openxmlformats.org/officeDocument/2006/relationships/hyperlink" Target="mailto:arm.barseghyan@ucom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e@prime-insurance.com" TargetMode="External"/><Relationship Id="rId24" Type="http://schemas.openxmlformats.org/officeDocument/2006/relationships/hyperlink" Target="mailto:umba@arminco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mba@umba.am" TargetMode="External"/><Relationship Id="rId23" Type="http://schemas.openxmlformats.org/officeDocument/2006/relationships/hyperlink" Target="mailto:umba@umba.am" TargetMode="External"/><Relationship Id="rId28" Type="http://schemas.openxmlformats.org/officeDocument/2006/relationships/hyperlink" Target="mailto:info@yerjewel.com" TargetMode="External"/><Relationship Id="rId10" Type="http://schemas.openxmlformats.org/officeDocument/2006/relationships/hyperlink" Target="mailto:umba@umba.am" TargetMode="External"/><Relationship Id="rId19" Type="http://schemas.openxmlformats.org/officeDocument/2006/relationships/hyperlink" Target="mailto:umba@umba.am" TargetMode="External"/><Relationship Id="rId31" Type="http://schemas.openxmlformats.org/officeDocument/2006/relationships/hyperlink" Target="mailto:manager@comfort-rv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a@arminco.com" TargetMode="External"/><Relationship Id="rId14" Type="http://schemas.openxmlformats.org/officeDocument/2006/relationships/hyperlink" Target="mailto:umba@arminco.com" TargetMode="External"/><Relationship Id="rId22" Type="http://schemas.openxmlformats.org/officeDocument/2006/relationships/hyperlink" Target="mailto:umba@arminco.com" TargetMode="External"/><Relationship Id="rId27" Type="http://schemas.openxmlformats.org/officeDocument/2006/relationships/hyperlink" Target="mailto:kafyan_elia@rambler.ru" TargetMode="External"/><Relationship Id="rId30" Type="http://schemas.openxmlformats.org/officeDocument/2006/relationships/hyperlink" Target="mailto:step-progress@mail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1D61-4292-4BEA-B5F8-94A58D6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6370</Words>
  <Characters>36315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2016-11-18T11:49:00Z</cp:lastPrinted>
  <dcterms:created xsi:type="dcterms:W3CDTF">2016-12-28T07:13:00Z</dcterms:created>
  <dcterms:modified xsi:type="dcterms:W3CDTF">2017-01-10T08:21:00Z</dcterms:modified>
</cp:coreProperties>
</file>